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70"/>
        <w:gridCol w:w="8370"/>
      </w:tblGrid>
      <w:tr w:rsidR="008B50E8" w:rsidRPr="009E10B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8B50E8" w:rsidP="005F72D9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D784A" w:rsidRDefault="00126B7D" w:rsidP="005F72D9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-906145</wp:posOffset>
                  </wp:positionV>
                  <wp:extent cx="1800225" cy="1349375"/>
                  <wp:effectExtent l="0" t="0" r="952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8523\Local Settings\Temporary Internet Files\Content.Outlook\PW815W6I\COURT LOGO 2011 - Office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784A" w:rsidRDefault="005D784A" w:rsidP="005F72D9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:rsidR="008B50E8" w:rsidRPr="004420D8" w:rsidRDefault="008B50E8" w:rsidP="004420D8">
            <w:pPr>
              <w:pStyle w:val="JCCReportCoverTitle"/>
              <w:jc w:val="center"/>
              <w:rPr>
                <w:rFonts w:ascii="Arial" w:hAnsi="Arial" w:cs="Arial"/>
                <w:sz w:val="68"/>
                <w:szCs w:val="68"/>
              </w:rPr>
            </w:pPr>
            <w:r w:rsidRPr="004420D8">
              <w:rPr>
                <w:rFonts w:ascii="Arial" w:hAnsi="Arial" w:cs="Arial"/>
                <w:color w:val="073873"/>
                <w:sz w:val="68"/>
                <w:szCs w:val="68"/>
              </w:rPr>
              <w:t xml:space="preserve">REQUEST FOR </w:t>
            </w:r>
            <w:r w:rsidR="002C07C8" w:rsidRPr="004420D8">
              <w:rPr>
                <w:rFonts w:ascii="Arial" w:hAnsi="Arial" w:cs="Arial"/>
                <w:color w:val="073873"/>
                <w:sz w:val="68"/>
                <w:szCs w:val="68"/>
              </w:rPr>
              <w:t>QUOTE</w:t>
            </w:r>
            <w:r w:rsidR="004420D8" w:rsidRPr="004420D8">
              <w:rPr>
                <w:rFonts w:ascii="Arial" w:hAnsi="Arial" w:cs="Arial"/>
                <w:color w:val="073873"/>
                <w:sz w:val="68"/>
                <w:szCs w:val="68"/>
              </w:rPr>
              <w:t>S</w:t>
            </w:r>
          </w:p>
          <w:p w:rsidR="008B50E8" w:rsidRPr="009E10B7" w:rsidRDefault="008B50E8" w:rsidP="005F72D9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5F72D9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6B7D" w:rsidRDefault="00126B7D" w:rsidP="00126B7D">
            <w:pPr>
              <w:pStyle w:val="JCCReportCoverSubhead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Superior Court of California</w:t>
            </w:r>
          </w:p>
          <w:p w:rsidR="008B50E8" w:rsidRDefault="005D784A" w:rsidP="00126B7D">
            <w:pPr>
              <w:pStyle w:val="JCCReportCoverSubhead"/>
              <w:jc w:val="center"/>
              <w:rPr>
                <w:rFonts w:ascii="Arial" w:hAnsi="Arial" w:cs="Arial"/>
                <w:b/>
                <w:szCs w:val="28"/>
              </w:rPr>
            </w:pPr>
            <w:r w:rsidRPr="005D3C6E">
              <w:rPr>
                <w:rFonts w:ascii="Arial" w:hAnsi="Arial" w:cs="Arial"/>
                <w:b/>
                <w:i/>
                <w:szCs w:val="28"/>
              </w:rPr>
              <w:t xml:space="preserve">County of </w:t>
            </w:r>
            <w:r w:rsidR="00B3268A">
              <w:rPr>
                <w:rFonts w:ascii="Arial" w:hAnsi="Arial" w:cs="Arial"/>
                <w:b/>
                <w:i/>
                <w:szCs w:val="28"/>
              </w:rPr>
              <w:t>VENTURA</w:t>
            </w:r>
          </w:p>
          <w:p w:rsidR="005D784A" w:rsidRPr="009E10B7" w:rsidRDefault="005D784A" w:rsidP="005F72D9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8B50E8" w:rsidRPr="005D784A" w:rsidRDefault="008B50E8" w:rsidP="007976EF">
            <w:pPr>
              <w:pStyle w:val="JCCReportCoverSubhead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 w:rsidR="002D5005">
              <w:rPr>
                <w:rFonts w:ascii="Arial" w:hAnsi="Arial" w:cs="Arial"/>
                <w:b/>
                <w:szCs w:val="28"/>
              </w:rPr>
              <w:t xml:space="preserve">  RFQ </w:t>
            </w:r>
            <w:r w:rsidR="00170747">
              <w:rPr>
                <w:rFonts w:ascii="Arial" w:hAnsi="Arial" w:cs="Arial"/>
                <w:b/>
                <w:szCs w:val="28"/>
              </w:rPr>
              <w:t>1</w:t>
            </w:r>
            <w:r w:rsidR="00B3268A">
              <w:rPr>
                <w:rFonts w:ascii="Arial" w:hAnsi="Arial" w:cs="Arial"/>
                <w:b/>
                <w:szCs w:val="28"/>
              </w:rPr>
              <w:t>718</w:t>
            </w:r>
            <w:r w:rsidR="00170747">
              <w:rPr>
                <w:rFonts w:ascii="Arial" w:hAnsi="Arial" w:cs="Arial"/>
                <w:b/>
                <w:szCs w:val="28"/>
              </w:rPr>
              <w:t>-1</w:t>
            </w:r>
            <w:r w:rsidR="002F4D1B">
              <w:rPr>
                <w:rFonts w:ascii="Arial" w:hAnsi="Arial" w:cs="Arial"/>
                <w:b/>
                <w:szCs w:val="28"/>
              </w:rPr>
              <w:t>1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7976EF">
              <w:rPr>
                <w:rFonts w:ascii="Arial" w:hAnsi="Arial" w:cs="Arial"/>
                <w:b/>
                <w:caps w:val="0"/>
                <w:szCs w:val="28"/>
              </w:rPr>
              <w:t>ONLINE IT</w:t>
            </w:r>
            <w:r w:rsidR="00B43C1D">
              <w:rPr>
                <w:rFonts w:ascii="Arial" w:hAnsi="Arial" w:cs="Arial"/>
                <w:b/>
                <w:caps w:val="0"/>
                <w:szCs w:val="28"/>
              </w:rPr>
              <w:t xml:space="preserve"> TRAINING</w:t>
            </w:r>
          </w:p>
          <w:p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0800E0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QUOTE</w:t>
            </w:r>
            <w:r w:rsidR="008B50E8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S</w:t>
            </w:r>
            <w:r w:rsidR="008B50E8"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 w:rsidR="008B50E8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5D784A" w:rsidRDefault="005D784A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Pr="002355CF" w:rsidRDefault="007976EF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JUNE</w:t>
            </w:r>
            <w:r w:rsidR="00B326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26</w:t>
            </w:r>
            <w:r w:rsidR="00170747">
              <w:rPr>
                <w:rFonts w:ascii="Arial" w:hAnsi="Arial" w:cs="Arial"/>
                <w:b/>
                <w:i/>
                <w:sz w:val="28"/>
                <w:szCs w:val="28"/>
              </w:rPr>
              <w:t>, 201</w:t>
            </w:r>
            <w:r w:rsidR="00B3268A"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  <w:r w:rsidR="005D784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8B50E8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no la</w:t>
            </w:r>
            <w:bookmarkStart w:id="0" w:name="_GoBack"/>
            <w:bookmarkEnd w:id="0"/>
            <w:r w:rsidR="008B50E8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ter than </w:t>
            </w:r>
            <w:r w:rsidR="005D78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3:00 </w:t>
            </w:r>
            <w:r w:rsidR="008B50E8" w:rsidRPr="005D784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p.m.</w:t>
            </w:r>
            <w:r w:rsidR="008B50E8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 Pacific time </w:t>
            </w:r>
          </w:p>
          <w:p w:rsidR="008B50E8" w:rsidRPr="009E10B7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keepNext/>
        <w:ind w:left="720" w:hanging="720"/>
        <w:rPr>
          <w:b/>
          <w:bCs/>
        </w:rPr>
      </w:pPr>
      <w:r w:rsidRPr="00D74462">
        <w:rPr>
          <w:b/>
          <w:bCs/>
        </w:rPr>
        <w:lastRenderedPageBreak/>
        <w:t>1.0</w:t>
      </w:r>
      <w:r w:rsidRPr="00D74462">
        <w:rPr>
          <w:b/>
          <w:bCs/>
        </w:rPr>
        <w:tab/>
      </w:r>
      <w:r>
        <w:rPr>
          <w:b/>
          <w:bCs/>
        </w:rPr>
        <w:t>BACKGROUND</w:t>
      </w:r>
      <w:r w:rsidRPr="00D74462">
        <w:rPr>
          <w:b/>
          <w:bCs/>
        </w:rPr>
        <w:t xml:space="preserve"> INFORMATION</w:t>
      </w:r>
    </w:p>
    <w:p w:rsidR="00C37FF7" w:rsidRDefault="00C37FF7" w:rsidP="00C37FF7">
      <w:pPr>
        <w:keepNext/>
      </w:pPr>
    </w:p>
    <w:p w:rsidR="00435ED1" w:rsidRDefault="00C37FF7" w:rsidP="008E4897">
      <w:pPr>
        <w:keepNext/>
        <w:ind w:left="1440" w:hanging="720"/>
        <w:rPr>
          <w:color w:val="FF0000"/>
        </w:rPr>
      </w:pPr>
      <w:r>
        <w:t>1.</w:t>
      </w:r>
      <w:r w:rsidR="008B50E8">
        <w:t>1</w:t>
      </w:r>
      <w:r>
        <w:tab/>
      </w:r>
      <w:r w:rsidR="005F72D9">
        <w:t xml:space="preserve">The Court is presently </w:t>
      </w:r>
      <w:r w:rsidR="008E4897">
        <w:t xml:space="preserve">seeking to have two of our Information Technology Unit staff attend online classes </w:t>
      </w:r>
      <w:r w:rsidR="00C07790">
        <w:t xml:space="preserve">in the following areas; </w:t>
      </w:r>
      <w:r w:rsidR="00CE69BE">
        <w:t>“</w:t>
      </w:r>
      <w:r w:rsidR="00C07790">
        <w:t>Introduction to Programming</w:t>
      </w:r>
      <w:r w:rsidR="00CE69BE">
        <w:t>”</w:t>
      </w:r>
      <w:r w:rsidR="00C07790">
        <w:t xml:space="preserve"> and </w:t>
      </w:r>
      <w:r w:rsidR="00CE69BE">
        <w:t>“</w:t>
      </w:r>
      <w:r w:rsidR="00C07790">
        <w:t>VMware, vSphere; Install, Configure and Manage v6.5</w:t>
      </w:r>
      <w:r w:rsidR="00CE69BE">
        <w:t>”, respectively</w:t>
      </w:r>
      <w:r w:rsidR="00C07790">
        <w:t xml:space="preserve">. </w:t>
      </w:r>
    </w:p>
    <w:p w:rsidR="00435ED1" w:rsidRPr="005F72D9" w:rsidRDefault="00435ED1" w:rsidP="00574253">
      <w:pPr>
        <w:keepNext/>
        <w:ind w:left="1440" w:hanging="720"/>
      </w:pPr>
    </w:p>
    <w:p w:rsidR="00C37FF7" w:rsidRDefault="00C37FF7" w:rsidP="00FC4A81">
      <w:pPr>
        <w:keepNext/>
        <w:ind w:left="720" w:hanging="720"/>
        <w:rPr>
          <w:b/>
          <w:bCs/>
        </w:rPr>
      </w:pPr>
      <w:r>
        <w:rPr>
          <w:b/>
          <w:bCs/>
        </w:rPr>
        <w:t>2.0</w:t>
      </w:r>
      <w:r>
        <w:rPr>
          <w:b/>
          <w:bCs/>
        </w:rPr>
        <w:tab/>
      </w:r>
      <w:r w:rsidR="00FC4A81">
        <w:rPr>
          <w:b/>
          <w:bCs/>
        </w:rPr>
        <w:t xml:space="preserve">DESCRIPTION OF </w:t>
      </w:r>
      <w:r w:rsidR="000518CD">
        <w:rPr>
          <w:b/>
          <w:bCs/>
        </w:rPr>
        <w:t>GOODS AND/OR SER</w:t>
      </w:r>
      <w:r w:rsidR="009C38A6">
        <w:rPr>
          <w:b/>
          <w:bCs/>
        </w:rPr>
        <w:t xml:space="preserve">VICES </w:t>
      </w:r>
    </w:p>
    <w:p w:rsidR="0012427D" w:rsidRDefault="0012427D" w:rsidP="0012427D">
      <w:pPr>
        <w:keepNext/>
        <w:ind w:left="1440" w:hanging="720"/>
      </w:pPr>
    </w:p>
    <w:p w:rsidR="002B61F6" w:rsidRDefault="002B61F6" w:rsidP="002B61F6">
      <w:pPr>
        <w:pStyle w:val="BodyTextIndent2"/>
        <w:numPr>
          <w:ilvl w:val="0"/>
          <w:numId w:val="13"/>
        </w:numPr>
        <w:spacing w:after="0" w:line="240" w:lineRule="auto"/>
      </w:pPr>
      <w:r>
        <w:t>Class 10975</w:t>
      </w:r>
      <w:r w:rsidR="00BA4592">
        <w:t xml:space="preserve"> -</w:t>
      </w:r>
      <w:r>
        <w:t xml:space="preserve"> Introduction to Programming must be </w:t>
      </w:r>
      <w:r w:rsidR="00CE69BE">
        <w:t xml:space="preserve">provided by a Microsoft </w:t>
      </w:r>
      <w:proofErr w:type="spellStart"/>
      <w:r w:rsidR="00CE69BE">
        <w:t>Microsoft</w:t>
      </w:r>
      <w:proofErr w:type="spellEnd"/>
      <w:r w:rsidR="00CE69BE">
        <w:t xml:space="preserve"> c</w:t>
      </w:r>
      <w:r>
        <w:t>ertified</w:t>
      </w:r>
      <w:r w:rsidR="00CE69BE">
        <w:t xml:space="preserve"> instructor.</w:t>
      </w:r>
    </w:p>
    <w:p w:rsidR="00682187" w:rsidRPr="00360269" w:rsidRDefault="00BA4592" w:rsidP="00B3390B">
      <w:pPr>
        <w:pStyle w:val="BodyTextIndent2"/>
        <w:numPr>
          <w:ilvl w:val="0"/>
          <w:numId w:val="13"/>
        </w:numPr>
        <w:spacing w:after="0" w:line="240" w:lineRule="auto"/>
      </w:pPr>
      <w:r>
        <w:t>The classes must be available to be taken online with a live instructor.</w:t>
      </w:r>
    </w:p>
    <w:p w:rsidR="00026A25" w:rsidRPr="00360269" w:rsidRDefault="00BA4592" w:rsidP="00026A25">
      <w:pPr>
        <w:pStyle w:val="BodyTextIndent2"/>
        <w:numPr>
          <w:ilvl w:val="0"/>
          <w:numId w:val="13"/>
        </w:numPr>
        <w:spacing w:after="0" w:line="240" w:lineRule="auto"/>
      </w:pPr>
      <w:r>
        <w:t xml:space="preserve">The classes must have a </w:t>
      </w:r>
      <w:proofErr w:type="spellStart"/>
      <w:r>
        <w:t>guareenteed</w:t>
      </w:r>
      <w:proofErr w:type="spellEnd"/>
      <w:r>
        <w:t xml:space="preserve"> run, regardless of class enrollment. </w:t>
      </w:r>
    </w:p>
    <w:p w:rsidR="00722BF7" w:rsidRPr="00360269" w:rsidRDefault="00BA4592" w:rsidP="00B3390B">
      <w:pPr>
        <w:pStyle w:val="BodyTextIndent2"/>
        <w:numPr>
          <w:ilvl w:val="0"/>
          <w:numId w:val="13"/>
        </w:numPr>
        <w:spacing w:after="0" w:line="240" w:lineRule="auto"/>
      </w:pPr>
      <w:r>
        <w:t>The class materials should be available via online video access after t</w:t>
      </w:r>
      <w:r w:rsidR="00CE69BE">
        <w:t>he class end date for a specified</w:t>
      </w:r>
      <w:r>
        <w:t xml:space="preserve"> amount of time. </w:t>
      </w:r>
    </w:p>
    <w:p w:rsidR="00C37FF7" w:rsidRDefault="00C37FF7" w:rsidP="00C37FF7">
      <w:pPr>
        <w:ind w:left="720"/>
      </w:pPr>
    </w:p>
    <w:p w:rsidR="00A50B42" w:rsidRPr="00D74462" w:rsidRDefault="00AB2FC2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</w:t>
      </w:r>
      <w:r w:rsidR="002C07C8">
        <w:rPr>
          <w:b/>
          <w:bCs/>
        </w:rPr>
        <w:t>Q</w:t>
      </w:r>
    </w:p>
    <w:p w:rsidR="00A50B42" w:rsidRPr="00D74462" w:rsidRDefault="00A50B42" w:rsidP="00A50B42">
      <w:pPr>
        <w:widowControl w:val="0"/>
        <w:rPr>
          <w:bCs/>
        </w:rPr>
      </w:pPr>
    </w:p>
    <w:p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8B50E8">
        <w:rPr>
          <w:bCs/>
        </w:rPr>
        <w:t>Court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</w:t>
      </w:r>
      <w:r w:rsidR="002C07C8">
        <w:rPr>
          <w:bCs/>
        </w:rPr>
        <w:t>Q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8B50E8">
        <w:rPr>
          <w:bCs/>
        </w:rPr>
        <w:t>Court</w:t>
      </w:r>
      <w:r w:rsidRPr="00D74462">
        <w:rPr>
          <w:bCs/>
        </w:rPr>
        <w:t>.</w:t>
      </w:r>
    </w:p>
    <w:p w:rsidR="00AB2FC2" w:rsidRDefault="00AB2FC2" w:rsidP="00A50B42">
      <w:pPr>
        <w:widowControl w:val="0"/>
        <w:ind w:left="1440"/>
        <w:rPr>
          <w:bCs/>
        </w:rPr>
      </w:pPr>
    </w:p>
    <w:p w:rsidR="006E3763" w:rsidRDefault="006E3763" w:rsidP="00A50B42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A50B42" w:rsidRPr="003B7ABC" w:rsidTr="00595822">
        <w:trPr>
          <w:trHeight w:val="485"/>
          <w:tblHeader/>
        </w:trPr>
        <w:tc>
          <w:tcPr>
            <w:tcW w:w="4986" w:type="dxa"/>
            <w:shd w:val="clear" w:color="auto" w:fill="E6E6E6"/>
            <w:vAlign w:val="center"/>
          </w:tcPr>
          <w:p w:rsidR="00A50B42" w:rsidRPr="00D77FEF" w:rsidRDefault="00A50B42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A50B42" w:rsidRPr="00D77FEF" w:rsidRDefault="00A50B42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:rsidTr="00595822">
        <w:trPr>
          <w:trHeight w:val="575"/>
        </w:trPr>
        <w:tc>
          <w:tcPr>
            <w:tcW w:w="4986" w:type="dxa"/>
            <w:vAlign w:val="center"/>
          </w:tcPr>
          <w:p w:rsidR="00A50B42" w:rsidRPr="00F34E24" w:rsidRDefault="00A50B42" w:rsidP="002C07C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RF</w:t>
            </w:r>
            <w:r w:rsidR="002C07C8" w:rsidRPr="00F34E24">
              <w:rPr>
                <w:b/>
                <w:bCs/>
              </w:rPr>
              <w:t>Q</w:t>
            </w:r>
            <w:r w:rsidRPr="00F34E24">
              <w:rPr>
                <w:b/>
                <w:bCs/>
              </w:rPr>
              <w:t xml:space="preserve"> issued</w:t>
            </w:r>
            <w:r w:rsidRPr="00F34E24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3192" w:type="dxa"/>
            <w:vAlign w:val="center"/>
          </w:tcPr>
          <w:p w:rsidR="00A50B42" w:rsidRPr="00F34E24" w:rsidRDefault="007976EF" w:rsidP="0036026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19, 2017</w:t>
            </w:r>
            <w:r w:rsidR="00170747" w:rsidRPr="00F34E24">
              <w:rPr>
                <w:b/>
                <w:bCs/>
              </w:rPr>
              <w:t xml:space="preserve"> </w:t>
            </w:r>
          </w:p>
        </w:tc>
      </w:tr>
      <w:tr w:rsidR="00A50B42" w:rsidRPr="003B7ABC" w:rsidTr="00595822">
        <w:trPr>
          <w:trHeight w:val="668"/>
        </w:trPr>
        <w:tc>
          <w:tcPr>
            <w:tcW w:w="4986" w:type="dxa"/>
            <w:vAlign w:val="center"/>
          </w:tcPr>
          <w:p w:rsidR="00A50B42" w:rsidRPr="00F34E24" w:rsidRDefault="00A50B42" w:rsidP="005F72D9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:rsidR="00A50B42" w:rsidRPr="00F34E24" w:rsidRDefault="007976EF" w:rsidP="007976E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22</w:t>
            </w:r>
            <w:r w:rsidR="00B3268A">
              <w:rPr>
                <w:b/>
                <w:bCs/>
              </w:rPr>
              <w:t>, 2017</w:t>
            </w:r>
          </w:p>
        </w:tc>
      </w:tr>
      <w:tr w:rsidR="00C00178" w:rsidRPr="003B7ABC" w:rsidTr="00595822">
        <w:trPr>
          <w:trHeight w:val="647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C00178" w:rsidRPr="00F34E24" w:rsidRDefault="007976EF" w:rsidP="007976E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23</w:t>
            </w:r>
            <w:r w:rsidR="00B3268A">
              <w:rPr>
                <w:b/>
                <w:bCs/>
              </w:rPr>
              <w:t>, 2017</w:t>
            </w:r>
          </w:p>
        </w:tc>
      </w:tr>
      <w:tr w:rsidR="00C00178" w:rsidRPr="003B7ABC" w:rsidTr="00595822">
        <w:trPr>
          <w:trHeight w:val="647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:rsidR="00C00178" w:rsidRPr="00F34E24" w:rsidRDefault="007976EF" w:rsidP="008B70B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26</w:t>
            </w:r>
            <w:r w:rsidR="00B3268A">
              <w:rPr>
                <w:b/>
                <w:bCs/>
              </w:rPr>
              <w:t>, 2017</w:t>
            </w:r>
          </w:p>
          <w:p w:rsidR="001A78C2" w:rsidRPr="00F34E24" w:rsidRDefault="001A78C2" w:rsidP="008B70B1">
            <w:pPr>
              <w:widowControl w:val="0"/>
              <w:jc w:val="center"/>
              <w:rPr>
                <w:b/>
                <w:bCs/>
              </w:rPr>
            </w:pPr>
            <w:r w:rsidRPr="00F34E24">
              <w:rPr>
                <w:b/>
                <w:bCs/>
              </w:rPr>
              <w:t>3:00 PM Pacific Time</w:t>
            </w:r>
          </w:p>
        </w:tc>
      </w:tr>
      <w:tr w:rsidR="00C00178" w:rsidRPr="003B7ABC" w:rsidTr="001A78C2">
        <w:trPr>
          <w:trHeight w:val="539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ind w:right="576"/>
              <w:rPr>
                <w:b/>
                <w:bCs/>
              </w:rPr>
            </w:pPr>
            <w:r w:rsidRPr="00F34E24">
              <w:rPr>
                <w:b/>
                <w:bCs/>
              </w:rPr>
              <w:t>Evaluation of proposals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34E24" w:rsidRDefault="007976EF" w:rsidP="00B3268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28</w:t>
            </w:r>
            <w:r w:rsidR="00B3268A">
              <w:rPr>
                <w:b/>
                <w:bCs/>
              </w:rPr>
              <w:t>, 2017</w:t>
            </w:r>
            <w:r w:rsidR="00170747" w:rsidRPr="00F34E24">
              <w:rPr>
                <w:b/>
                <w:bCs/>
              </w:rPr>
              <w:t xml:space="preserve"> </w:t>
            </w:r>
          </w:p>
        </w:tc>
      </w:tr>
      <w:tr w:rsidR="00C00178" w:rsidRPr="003B7ABC" w:rsidTr="00595822">
        <w:trPr>
          <w:trHeight w:val="520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Negotiations and execution of contract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34E24" w:rsidRDefault="007976EF" w:rsidP="00B3268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29</w:t>
            </w:r>
            <w:r w:rsidR="00B3268A">
              <w:rPr>
                <w:b/>
                <w:bCs/>
              </w:rPr>
              <w:t>, 2017</w:t>
            </w:r>
          </w:p>
        </w:tc>
      </w:tr>
      <w:tr w:rsidR="00C00178" w:rsidRPr="003B7ABC" w:rsidTr="00595822">
        <w:trPr>
          <w:trHeight w:val="520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Contract start date 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34E24" w:rsidRDefault="00B3268A" w:rsidP="00C0017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 1, 2017</w:t>
            </w:r>
          </w:p>
        </w:tc>
      </w:tr>
      <w:tr w:rsidR="00C00178" w:rsidRPr="003B7ABC" w:rsidTr="00595822">
        <w:trPr>
          <w:trHeight w:val="520"/>
        </w:trPr>
        <w:tc>
          <w:tcPr>
            <w:tcW w:w="4986" w:type="dxa"/>
            <w:vAlign w:val="center"/>
          </w:tcPr>
          <w:p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 xml:space="preserve">Contract end date  </w:t>
            </w:r>
            <w:r w:rsidR="00F34E24" w:rsidRPr="00F34E24">
              <w:rPr>
                <w:b/>
                <w:bCs/>
              </w:rPr>
              <w:t xml:space="preserve"> - Not including options for renewal </w:t>
            </w:r>
            <w:r w:rsidRPr="00F34E24">
              <w:rPr>
                <w:b/>
                <w:bCs/>
              </w:rPr>
              <w:t>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34E24" w:rsidRDefault="00B3268A" w:rsidP="002C07C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30</w:t>
            </w:r>
            <w:r w:rsidR="00F34E24" w:rsidRPr="00F34E24">
              <w:rPr>
                <w:b/>
                <w:bCs/>
              </w:rPr>
              <w:t xml:space="preserve">, </w:t>
            </w:r>
            <w:r w:rsidR="007976EF">
              <w:rPr>
                <w:b/>
                <w:bCs/>
              </w:rPr>
              <w:t>2018</w:t>
            </w:r>
          </w:p>
        </w:tc>
      </w:tr>
    </w:tbl>
    <w:p w:rsidR="00A50B42" w:rsidRDefault="00A50B42" w:rsidP="00A50B42">
      <w:pPr>
        <w:widowControl w:val="0"/>
        <w:ind w:left="1440"/>
        <w:rPr>
          <w:bCs/>
        </w:rPr>
      </w:pPr>
    </w:p>
    <w:p w:rsidR="00A50B42" w:rsidRPr="00AB7551" w:rsidRDefault="00A50B42" w:rsidP="00A50B42">
      <w:pPr>
        <w:pStyle w:val="Normal1"/>
        <w:rPr>
          <w:sz w:val="20"/>
        </w:rPr>
      </w:pPr>
    </w:p>
    <w:p w:rsidR="00AB5BA4" w:rsidRDefault="00AB5BA4" w:rsidP="002C07C8">
      <w:pPr>
        <w:widowControl w:val="0"/>
        <w:ind w:left="720" w:hanging="720"/>
        <w:rPr>
          <w:b/>
          <w:bCs/>
          <w:color w:val="000000"/>
        </w:rPr>
      </w:pPr>
    </w:p>
    <w:p w:rsidR="00AB5BA4" w:rsidRDefault="00AB5BA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395B94" w:rsidRDefault="00395B94" w:rsidP="002C07C8">
      <w:pPr>
        <w:widowControl w:val="0"/>
        <w:ind w:left="720" w:hanging="720"/>
        <w:rPr>
          <w:b/>
          <w:bCs/>
          <w:color w:val="000000"/>
        </w:rPr>
      </w:pPr>
    </w:p>
    <w:p w:rsidR="00E7797E" w:rsidRDefault="00E7797E" w:rsidP="002C07C8">
      <w:pPr>
        <w:widowControl w:val="0"/>
        <w:ind w:left="720" w:hanging="720"/>
        <w:rPr>
          <w:b/>
          <w:bCs/>
          <w:color w:val="000000"/>
        </w:rPr>
      </w:pPr>
    </w:p>
    <w:p w:rsidR="003670B6" w:rsidRDefault="003670B6" w:rsidP="002C07C8">
      <w:pPr>
        <w:widowControl w:val="0"/>
        <w:ind w:left="720" w:hanging="720"/>
        <w:rPr>
          <w:b/>
          <w:bCs/>
          <w:color w:val="000000"/>
        </w:rPr>
      </w:pPr>
    </w:p>
    <w:p w:rsidR="003670B6" w:rsidRDefault="003670B6" w:rsidP="002C07C8">
      <w:pPr>
        <w:widowControl w:val="0"/>
        <w:ind w:left="720" w:hanging="720"/>
        <w:rPr>
          <w:b/>
          <w:bCs/>
          <w:color w:val="000000"/>
        </w:rPr>
      </w:pPr>
    </w:p>
    <w:p w:rsidR="003670B6" w:rsidRDefault="003670B6" w:rsidP="002C07C8">
      <w:pPr>
        <w:widowControl w:val="0"/>
        <w:ind w:left="720" w:hanging="720"/>
        <w:rPr>
          <w:b/>
          <w:bCs/>
          <w:color w:val="000000"/>
        </w:rPr>
      </w:pPr>
    </w:p>
    <w:p w:rsidR="003670B6" w:rsidRDefault="003670B6" w:rsidP="002C07C8">
      <w:pPr>
        <w:widowControl w:val="0"/>
        <w:ind w:left="720" w:hanging="720"/>
        <w:rPr>
          <w:b/>
          <w:bCs/>
          <w:color w:val="000000"/>
        </w:rPr>
      </w:pPr>
    </w:p>
    <w:p w:rsidR="003670B6" w:rsidRDefault="003670B6" w:rsidP="002C07C8">
      <w:pPr>
        <w:widowControl w:val="0"/>
        <w:ind w:left="720" w:hanging="720"/>
        <w:rPr>
          <w:b/>
          <w:bCs/>
          <w:color w:val="000000"/>
        </w:rPr>
      </w:pPr>
    </w:p>
    <w:p w:rsidR="00327CD5" w:rsidRDefault="00327CD5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C07C8" w:rsidRDefault="002C07C8" w:rsidP="002C07C8">
      <w:pPr>
        <w:widowControl w:val="0"/>
        <w:ind w:left="720" w:hanging="720"/>
        <w:rPr>
          <w:b/>
          <w:bCs/>
          <w:color w:val="000000"/>
        </w:rPr>
      </w:pPr>
    </w:p>
    <w:p w:rsidR="002E7965" w:rsidRDefault="002E7965" w:rsidP="002C07C8">
      <w:pPr>
        <w:keepNext/>
        <w:ind w:left="720" w:hanging="72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4.0</w:t>
      </w:r>
      <w:r>
        <w:rPr>
          <w:b/>
          <w:bCs/>
          <w:color w:val="000000"/>
        </w:rPr>
        <w:tab/>
      </w:r>
      <w:r w:rsidR="00135DAC">
        <w:rPr>
          <w:b/>
          <w:bCs/>
          <w:color w:val="000000"/>
        </w:rPr>
        <w:t>RFQ</w:t>
      </w:r>
      <w:r w:rsidRPr="00D74462">
        <w:rPr>
          <w:b/>
          <w:bCs/>
          <w:color w:val="000000"/>
        </w:rPr>
        <w:t xml:space="preserve"> ATTACHMENTS</w:t>
      </w:r>
    </w:p>
    <w:p w:rsidR="002E7965" w:rsidRDefault="002E7965" w:rsidP="002E7965">
      <w:pPr>
        <w:keepNext/>
        <w:ind w:left="720"/>
        <w:rPr>
          <w:b/>
          <w:bCs/>
          <w:color w:val="000000"/>
        </w:rPr>
      </w:pPr>
    </w:p>
    <w:p w:rsidR="002E7965" w:rsidRDefault="002E7965" w:rsidP="00360269">
      <w:pPr>
        <w:pStyle w:val="BodyTextIndent2"/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The following attachments are included as part of this </w:t>
      </w:r>
      <w:r w:rsidR="00135DAC">
        <w:rPr>
          <w:color w:val="000000"/>
        </w:rPr>
        <w:t>RFQ</w:t>
      </w:r>
      <w:r w:rsidRPr="005E0EE1">
        <w:rPr>
          <w:color w:val="000000"/>
        </w:rPr>
        <w:t>:</w:t>
      </w:r>
    </w:p>
    <w:p w:rsidR="002E7965" w:rsidRDefault="002E7965" w:rsidP="002E7965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6468"/>
      </w:tblGrid>
      <w:tr w:rsidR="002E7965" w:rsidRPr="003B7ABC" w:rsidTr="00FA6747">
        <w:trPr>
          <w:tblHeader/>
        </w:trPr>
        <w:tc>
          <w:tcPr>
            <w:tcW w:w="2294" w:type="dxa"/>
            <w:shd w:val="clear" w:color="auto" w:fill="E6E6E6"/>
            <w:vAlign w:val="center"/>
          </w:tcPr>
          <w:p w:rsidR="002E7965" w:rsidRPr="00A17915" w:rsidRDefault="002E7965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915">
              <w:rPr>
                <w:b/>
                <w:bCs/>
                <w:color w:val="000000"/>
                <w:sz w:val="22"/>
                <w:szCs w:val="22"/>
              </w:rPr>
              <w:t>ATTAC</w:t>
            </w:r>
            <w:r w:rsidR="00A17915" w:rsidRPr="00A17915">
              <w:rPr>
                <w:b/>
                <w:bCs/>
                <w:color w:val="000000"/>
                <w:sz w:val="22"/>
                <w:szCs w:val="22"/>
              </w:rPr>
              <w:t>H</w:t>
            </w:r>
            <w:r w:rsidRPr="00A17915">
              <w:rPr>
                <w:b/>
                <w:bCs/>
                <w:color w:val="000000"/>
                <w:sz w:val="22"/>
                <w:szCs w:val="22"/>
              </w:rPr>
              <w:t xml:space="preserve">MENT </w:t>
            </w:r>
          </w:p>
        </w:tc>
        <w:tc>
          <w:tcPr>
            <w:tcW w:w="6468" w:type="dxa"/>
            <w:shd w:val="clear" w:color="auto" w:fill="E6E6E6"/>
            <w:vAlign w:val="center"/>
          </w:tcPr>
          <w:p w:rsidR="002E7965" w:rsidRPr="00D77FEF" w:rsidRDefault="002E7965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D84196" w:rsidRPr="003B7ABC" w:rsidTr="00FA6747">
        <w:trPr>
          <w:tblHeader/>
        </w:trPr>
        <w:tc>
          <w:tcPr>
            <w:tcW w:w="2294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>Attachment 1: Administrative Rules Governing RFPs (Non-IT Services)</w:t>
            </w:r>
            <w:r>
              <w:rPr>
                <w:bCs/>
                <w:vanish/>
                <w:color w:val="000000" w:themeColor="text1"/>
                <w:lang w:bidi="en-US"/>
              </w:rPr>
              <w:t>:</w:t>
            </w:r>
          </w:p>
        </w:tc>
        <w:tc>
          <w:tcPr>
            <w:tcW w:w="6468" w:type="dxa"/>
          </w:tcPr>
          <w:p w:rsidR="00D84196" w:rsidRPr="000078BB" w:rsidRDefault="00D84196" w:rsidP="00D84196">
            <w:pPr>
              <w:widowControl w:val="0"/>
              <w:tabs>
                <w:tab w:val="left" w:pos="2178"/>
              </w:tabs>
              <w:rPr>
                <w:bCs/>
                <w:i/>
                <w:lang w:bidi="en-US"/>
              </w:rPr>
            </w:pPr>
            <w:r>
              <w:rPr>
                <w:lang w:bidi="en-US"/>
              </w:rPr>
              <w:t>These rules govern this solicitation.</w:t>
            </w:r>
          </w:p>
        </w:tc>
      </w:tr>
      <w:tr w:rsidR="00D84196" w:rsidRPr="003B7ABC" w:rsidTr="00272553">
        <w:trPr>
          <w:tblHeader/>
        </w:trPr>
        <w:tc>
          <w:tcPr>
            <w:tcW w:w="2294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 xml:space="preserve">Attachment </w:t>
            </w:r>
            <w:r>
              <w:rPr>
                <w:color w:val="000000"/>
                <w:lang w:bidi="en-US"/>
              </w:rPr>
              <w:t>2:  AOC Standard Terms and Conditions</w:t>
            </w:r>
          </w:p>
        </w:tc>
        <w:tc>
          <w:tcPr>
            <w:tcW w:w="6468" w:type="dxa"/>
          </w:tcPr>
          <w:p w:rsidR="00D84196" w:rsidRPr="00D84196" w:rsidRDefault="00D84196" w:rsidP="00D84196">
            <w:pPr>
              <w:widowControl w:val="0"/>
              <w:tabs>
                <w:tab w:val="left" w:pos="2178"/>
              </w:tabs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If selected, the person or entity submitting a proposal (the “Proposer”) must sign </w:t>
            </w:r>
            <w:proofErr w:type="gramStart"/>
            <w:r>
              <w:rPr>
                <w:color w:val="000000"/>
                <w:lang w:bidi="en-US"/>
              </w:rPr>
              <w:t>a</w:t>
            </w:r>
            <w:proofErr w:type="gramEnd"/>
            <w:r>
              <w:rPr>
                <w:color w:val="000000"/>
                <w:lang w:bidi="en-US"/>
              </w:rPr>
              <w:t xml:space="preserve"> AOC Standard Form agreement containing these terms and conditions (the “Terms and Conditions”).  </w:t>
            </w:r>
          </w:p>
        </w:tc>
      </w:tr>
      <w:tr w:rsidR="00D84196" w:rsidRPr="003B7ABC" w:rsidTr="00FA6747">
        <w:trPr>
          <w:tblHeader/>
        </w:trPr>
        <w:tc>
          <w:tcPr>
            <w:tcW w:w="2294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 xml:space="preserve">Attachment </w:t>
            </w:r>
            <w:r>
              <w:rPr>
                <w:color w:val="000000"/>
                <w:lang w:bidi="en-US"/>
              </w:rPr>
              <w:t>3: Proposer’s Acceptance  of Terms and Conditions</w:t>
            </w:r>
          </w:p>
        </w:tc>
        <w:tc>
          <w:tcPr>
            <w:tcW w:w="6468" w:type="dxa"/>
          </w:tcPr>
          <w:p w:rsidR="00D84196" w:rsidRDefault="00D84196" w:rsidP="00D84196">
            <w:pPr>
              <w:widowControl w:val="0"/>
              <w:tabs>
                <w:tab w:val="left" w:pos="2178"/>
              </w:tabs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On this form, the Proposer must indicate acceptance of the Terms and Conditions or identify exceptions to the Terms and Conditions.  </w:t>
            </w:r>
          </w:p>
          <w:p w:rsidR="00D84196" w:rsidRPr="000078BB" w:rsidRDefault="00D84196" w:rsidP="00D84196">
            <w:pPr>
              <w:widowControl w:val="0"/>
              <w:tabs>
                <w:tab w:val="left" w:pos="2178"/>
              </w:tabs>
              <w:rPr>
                <w:b/>
                <w:bCs/>
                <w:lang w:bidi="en-US"/>
              </w:rPr>
            </w:pPr>
          </w:p>
        </w:tc>
      </w:tr>
      <w:tr w:rsidR="00D84196" w:rsidRPr="003B7ABC" w:rsidTr="00FA6747">
        <w:trPr>
          <w:tblHeader/>
        </w:trPr>
        <w:tc>
          <w:tcPr>
            <w:tcW w:w="2294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Attachment 4: Darfur Contracting Act Certification</w:t>
            </w:r>
          </w:p>
        </w:tc>
        <w:tc>
          <w:tcPr>
            <w:tcW w:w="6468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lang w:bidi="en-US"/>
              </w:rPr>
              <w:t>Proposer must complete the Darfur Contracting Act Certification and submit the completed certification with its proposal.</w:t>
            </w:r>
          </w:p>
        </w:tc>
      </w:tr>
      <w:tr w:rsidR="00D84196" w:rsidRPr="003B7ABC" w:rsidTr="00272553">
        <w:trPr>
          <w:tblHeader/>
        </w:trPr>
        <w:tc>
          <w:tcPr>
            <w:tcW w:w="2294" w:type="dxa"/>
          </w:tcPr>
          <w:p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 xml:space="preserve">Attachment 5: </w:t>
            </w:r>
            <w:r>
              <w:rPr>
                <w:lang w:bidi="en-US"/>
              </w:rPr>
              <w:t xml:space="preserve"> </w:t>
            </w:r>
            <w:r>
              <w:rPr>
                <w:bCs/>
                <w:lang w:bidi="en-US"/>
              </w:rPr>
              <w:t>Payee Data Record Form</w:t>
            </w:r>
          </w:p>
        </w:tc>
        <w:tc>
          <w:tcPr>
            <w:tcW w:w="6468" w:type="dxa"/>
          </w:tcPr>
          <w:p w:rsidR="00D84196" w:rsidRPr="000078BB" w:rsidRDefault="00D84196" w:rsidP="00D84196">
            <w:pPr>
              <w:widowControl w:val="0"/>
              <w:rPr>
                <w:lang w:bidi="en-US"/>
              </w:rPr>
            </w:pPr>
            <w:r>
              <w:rPr>
                <w:bCs/>
                <w:lang w:bidi="en-US"/>
              </w:rPr>
              <w:t>This form contains information the AOC requires in order to process payments and must be submitted with the proposal.</w:t>
            </w:r>
          </w:p>
        </w:tc>
      </w:tr>
    </w:tbl>
    <w:p w:rsidR="00A50B42" w:rsidRDefault="00A50B42" w:rsidP="00A50B42">
      <w:pPr>
        <w:pStyle w:val="ListParagraph"/>
      </w:pPr>
    </w:p>
    <w:p w:rsidR="002C64BD" w:rsidRDefault="00D84196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5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:rsidR="0096746C" w:rsidRDefault="00D84196" w:rsidP="0096746C">
      <w:pPr>
        <w:widowControl w:val="0"/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96746C">
        <w:rPr>
          <w:color w:val="000000"/>
        </w:rPr>
        <w:t>.</w:t>
      </w:r>
      <w:r w:rsidR="0096746C" w:rsidRPr="0096746C">
        <w:rPr>
          <w:color w:val="000000"/>
        </w:rPr>
        <w:t xml:space="preserve"> </w:t>
      </w:r>
      <w:r w:rsidR="0096746C">
        <w:rPr>
          <w:color w:val="000000"/>
        </w:rPr>
        <w:t>The files must be in PDF, Word, or Excel formats.</w:t>
      </w:r>
    </w:p>
    <w:p w:rsidR="002C64BD" w:rsidRDefault="002C64BD" w:rsidP="002C64BD">
      <w:pPr>
        <w:ind w:left="1440" w:right="468" w:hanging="720"/>
        <w:rPr>
          <w:color w:val="000000"/>
        </w:rPr>
      </w:pPr>
    </w:p>
    <w:p w:rsidR="0096746C" w:rsidRPr="005E0EE1" w:rsidRDefault="0096746C" w:rsidP="002C64BD">
      <w:pPr>
        <w:ind w:left="1440" w:right="468" w:hanging="720"/>
        <w:rPr>
          <w:color w:val="000000"/>
        </w:rPr>
      </w:pPr>
    </w:p>
    <w:p w:rsidR="006D02BE" w:rsidRDefault="00D84196" w:rsidP="0096746C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</w:t>
      </w:r>
      <w:r w:rsidR="00626B27">
        <w:rPr>
          <w:color w:val="000000"/>
        </w:rPr>
        <w:t>be</w:t>
      </w:r>
      <w:r w:rsidR="002C64BD" w:rsidRPr="005E0EE1">
        <w:rPr>
          <w:color w:val="000000"/>
        </w:rPr>
        <w:t xml:space="preserve"> signed by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 w:rsidR="006D02BE">
        <w:rPr>
          <w:color w:val="000000"/>
        </w:rPr>
        <w:t xml:space="preserve">  </w:t>
      </w:r>
      <w:r w:rsidR="007C41DF" w:rsidRPr="007C41DF">
        <w:rPr>
          <w:color w:val="000000"/>
        </w:rPr>
        <w:t xml:space="preserve"> </w:t>
      </w:r>
    </w:p>
    <w:p w:rsidR="002C64BD" w:rsidRPr="00E46BDC" w:rsidRDefault="006D02BE" w:rsidP="00C041EE">
      <w:pPr>
        <w:ind w:left="1440" w:right="468" w:hanging="720"/>
        <w:rPr>
          <w:color w:val="000000"/>
          <w:sz w:val="20"/>
          <w:szCs w:val="20"/>
        </w:rPr>
      </w:pPr>
      <w:r>
        <w:rPr>
          <w:color w:val="000000"/>
        </w:rPr>
        <w:tab/>
      </w:r>
    </w:p>
    <w:p w:rsidR="00B43C1D" w:rsidRDefault="00D84196" w:rsidP="00B43C1D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</w:r>
      <w:r w:rsidR="00F34E24" w:rsidRPr="005E0EE1">
        <w:rPr>
          <w:color w:val="000000"/>
        </w:rPr>
        <w:t xml:space="preserve">Proposals must be </w:t>
      </w:r>
      <w:r w:rsidR="0096746C">
        <w:rPr>
          <w:color w:val="000000"/>
        </w:rPr>
        <w:t>email</w:t>
      </w:r>
      <w:r w:rsidR="00B43C1D">
        <w:rPr>
          <w:color w:val="000000"/>
        </w:rPr>
        <w:t>ed</w:t>
      </w:r>
      <w:r w:rsidR="00F34E24">
        <w:rPr>
          <w:color w:val="000000"/>
        </w:rPr>
        <w:t xml:space="preserve"> by the date and time listed on the coversheet of this </w:t>
      </w:r>
      <w:r w:rsidR="00135DAC">
        <w:rPr>
          <w:color w:val="000000"/>
        </w:rPr>
        <w:t>RFQ</w:t>
      </w:r>
      <w:r w:rsidR="00F34E24">
        <w:rPr>
          <w:color w:val="000000"/>
        </w:rPr>
        <w:t xml:space="preserve"> to:</w:t>
      </w:r>
      <w:r w:rsidR="00B43C1D">
        <w:rPr>
          <w:color w:val="000000"/>
        </w:rPr>
        <w:t xml:space="preserve"> </w:t>
      </w:r>
    </w:p>
    <w:p w:rsidR="00B43C1D" w:rsidRPr="00B43C1D" w:rsidRDefault="006D6DAB" w:rsidP="00B43C1D">
      <w:pPr>
        <w:ind w:left="1440" w:right="468" w:hanging="720"/>
      </w:pPr>
      <w:r>
        <w:rPr>
          <w:color w:val="000000"/>
        </w:rPr>
        <w:tab/>
      </w:r>
      <w:r>
        <w:rPr>
          <w:color w:val="000000"/>
        </w:rPr>
        <w:tab/>
      </w:r>
      <w:r w:rsidR="00B43C1D">
        <w:rPr>
          <w:color w:val="000000"/>
        </w:rPr>
        <w:tab/>
      </w:r>
      <w:r w:rsidR="00B43C1D" w:rsidRPr="00B43C1D">
        <w:rPr>
          <w:b/>
          <w:color w:val="000000"/>
        </w:rPr>
        <w:t xml:space="preserve"> </w:t>
      </w:r>
      <w:hyperlink r:id="rId12" w:history="1">
        <w:r w:rsidR="00B43C1D" w:rsidRPr="00B43C1D">
          <w:rPr>
            <w:rStyle w:val="Hyperlink"/>
            <w:b/>
          </w:rPr>
          <w:t>Jill.barrios@ventura.courts.ca.gov</w:t>
        </w:r>
      </w:hyperlink>
      <w:r w:rsidR="00B43C1D" w:rsidRPr="00B43C1D">
        <w:t xml:space="preserve">  with </w:t>
      </w:r>
      <w:r w:rsidR="00B43C1D">
        <w:t xml:space="preserve">the </w:t>
      </w:r>
      <w:r w:rsidR="00B43C1D">
        <w:br/>
      </w:r>
      <w:r>
        <w:tab/>
      </w:r>
      <w:r>
        <w:tab/>
      </w:r>
      <w:r w:rsidR="00B43C1D">
        <w:t>“</w:t>
      </w:r>
      <w:r w:rsidR="00B43C1D" w:rsidRPr="00B43C1D">
        <w:t>Subject</w:t>
      </w:r>
      <w:r w:rsidR="00B43C1D">
        <w:t>”</w:t>
      </w:r>
      <w:r w:rsidR="00B43C1D" w:rsidRPr="00B43C1D">
        <w:t xml:space="preserve"> line: </w:t>
      </w:r>
      <w:r w:rsidR="00B43C1D" w:rsidRPr="00B43C1D">
        <w:rPr>
          <w:b/>
        </w:rPr>
        <w:t>RFQ 1718-11 IT Training</w:t>
      </w:r>
    </w:p>
    <w:p w:rsidR="00C347FC" w:rsidRDefault="00C347FC" w:rsidP="00F34E24">
      <w:pPr>
        <w:ind w:left="1440" w:right="468" w:hanging="720"/>
      </w:pPr>
    </w:p>
    <w:p w:rsidR="006D6DAB" w:rsidRDefault="006D6DAB" w:rsidP="00F34E24">
      <w:pPr>
        <w:ind w:left="1440" w:right="468" w:hanging="720"/>
      </w:pPr>
      <w:r>
        <w:t>5.4</w:t>
      </w:r>
      <w:r>
        <w:tab/>
        <w:t>Late quotes will not be accepted.</w:t>
      </w:r>
    </w:p>
    <w:p w:rsidR="006D6DAB" w:rsidRPr="00804E67" w:rsidRDefault="006D6DAB" w:rsidP="00F34E24">
      <w:pPr>
        <w:ind w:left="1440" w:right="468" w:hanging="720"/>
      </w:pPr>
    </w:p>
    <w:p w:rsidR="006D6DAB" w:rsidRDefault="006D6DAB" w:rsidP="00595822">
      <w:pPr>
        <w:keepNext/>
        <w:ind w:left="720" w:hanging="720"/>
        <w:rPr>
          <w:b/>
          <w:bCs/>
        </w:rPr>
      </w:pPr>
    </w:p>
    <w:p w:rsidR="006D6DAB" w:rsidRDefault="006D6DAB" w:rsidP="00595822">
      <w:pPr>
        <w:keepNext/>
        <w:ind w:left="720" w:hanging="720"/>
        <w:rPr>
          <w:b/>
          <w:bCs/>
        </w:rPr>
      </w:pPr>
    </w:p>
    <w:p w:rsidR="00595822" w:rsidRDefault="00D84196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t>6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:rsidR="00595822" w:rsidRDefault="00595822" w:rsidP="00595822">
      <w:pPr>
        <w:keepNext/>
      </w:pPr>
    </w:p>
    <w:p w:rsidR="00D84196" w:rsidRDefault="00D84196" w:rsidP="00D84196">
      <w:pPr>
        <w:pStyle w:val="BodyTextIndent2"/>
        <w:keepNext/>
        <w:spacing w:after="0" w:line="240" w:lineRule="auto"/>
        <w:ind w:left="720"/>
      </w:pPr>
      <w:r>
        <w:t>6</w:t>
      </w:r>
      <w:r w:rsidR="00574253">
        <w:t>.1</w:t>
      </w:r>
      <w:r w:rsidR="00574253">
        <w:tab/>
      </w:r>
      <w:r>
        <w:t xml:space="preserve">The following information must be included in the technical proposal.  A proposal lacking any of the following information may be deemed non-responsive.  </w:t>
      </w:r>
    </w:p>
    <w:p w:rsidR="00D84196" w:rsidRDefault="00D84196" w:rsidP="00D84196">
      <w:pPr>
        <w:keepNext/>
        <w:ind w:left="720"/>
      </w:pPr>
    </w:p>
    <w:p w:rsidR="00D84196" w:rsidRDefault="00D84196" w:rsidP="00D84196">
      <w:pPr>
        <w:ind w:left="1440" w:hanging="720"/>
      </w:pPr>
      <w:r>
        <w:t>a.</w:t>
      </w:r>
      <w:r>
        <w:tab/>
        <w:t xml:space="preserve">Proposer’s name, address, telephone and fax numbers, and federal tax identification number.  </w:t>
      </w:r>
      <w:r>
        <w:rPr>
          <w:color w:val="000000" w:themeColor="text1"/>
        </w:rPr>
        <w:t xml:space="preserve">Note that if Proposer is a sole proprietor using his or her social security number, the social security number will be required before finalizing a contract.  </w:t>
      </w:r>
    </w:p>
    <w:p w:rsidR="00D84196" w:rsidRDefault="00D84196" w:rsidP="00D84196">
      <w:pPr>
        <w:ind w:left="1440" w:hanging="720"/>
      </w:pPr>
    </w:p>
    <w:p w:rsidR="00D84196" w:rsidRDefault="00D84196" w:rsidP="00D84196">
      <w:pPr>
        <w:ind w:left="1440" w:hanging="720"/>
      </w:pPr>
      <w:r>
        <w:t>b.</w:t>
      </w:r>
      <w:r>
        <w:tab/>
        <w:t>Names, addresses, and telephone numbers of a minimum of three clients for whom the Proposer has conducted similar services.  The AOC may check references listed by Proposer.</w:t>
      </w:r>
    </w:p>
    <w:p w:rsidR="00D84196" w:rsidRDefault="00D84196" w:rsidP="00D84196">
      <w:pPr>
        <w:ind w:left="1440" w:hanging="720"/>
      </w:pPr>
    </w:p>
    <w:p w:rsidR="00D84196" w:rsidRDefault="00D84196" w:rsidP="00D84196">
      <w:pPr>
        <w:ind w:left="1440" w:hanging="720"/>
      </w:pPr>
      <w:r>
        <w:t>c.</w:t>
      </w:r>
      <w:r>
        <w:tab/>
        <w:t>Proposed method to complete the work.</w:t>
      </w:r>
    </w:p>
    <w:p w:rsidR="00D84196" w:rsidRDefault="00D84196" w:rsidP="00D84196">
      <w:pPr>
        <w:ind w:left="1440" w:hanging="720"/>
      </w:pPr>
    </w:p>
    <w:p w:rsidR="00D84196" w:rsidRDefault="004E50EF" w:rsidP="004E50EF">
      <w:pPr>
        <w:pStyle w:val="ListParagraph"/>
        <w:numPr>
          <w:ilvl w:val="0"/>
          <w:numId w:val="28"/>
        </w:numPr>
        <w:ind w:hanging="630"/>
      </w:pPr>
      <w:r>
        <w:t>List of course offering</w:t>
      </w:r>
    </w:p>
    <w:p w:rsidR="004E50EF" w:rsidRDefault="00D84196" w:rsidP="004E50EF">
      <w:pPr>
        <w:pStyle w:val="ListParagraph"/>
        <w:numPr>
          <w:ilvl w:val="0"/>
          <w:numId w:val="28"/>
        </w:numPr>
        <w:ind w:hanging="630"/>
      </w:pPr>
      <w:r>
        <w:t>Pricing proposal for costs on a per use basis</w:t>
      </w:r>
      <w:r w:rsidR="004E50EF">
        <w:t>.</w:t>
      </w:r>
    </w:p>
    <w:p w:rsidR="004E50EF" w:rsidRDefault="004E50EF" w:rsidP="004E50EF">
      <w:pPr>
        <w:pStyle w:val="ListParagraph"/>
        <w:ind w:left="2880"/>
      </w:pPr>
    </w:p>
    <w:p w:rsidR="00BD0D2D" w:rsidRPr="004E50EF" w:rsidRDefault="00BD0D2D" w:rsidP="004E50EF">
      <w:pPr>
        <w:pStyle w:val="ListParagraph"/>
        <w:numPr>
          <w:ilvl w:val="0"/>
          <w:numId w:val="29"/>
        </w:numPr>
      </w:pPr>
      <w:r w:rsidRPr="004E50EF">
        <w:rPr>
          <w:color w:val="000000" w:themeColor="text1"/>
        </w:rPr>
        <w:t xml:space="preserve">Acceptance </w:t>
      </w:r>
      <w:r w:rsidRPr="004E50EF">
        <w:rPr>
          <w:color w:val="000000"/>
        </w:rPr>
        <w:t xml:space="preserve">of the </w:t>
      </w:r>
      <w:r w:rsidR="005F6E88" w:rsidRPr="004E50EF">
        <w:rPr>
          <w:color w:val="000000"/>
        </w:rPr>
        <w:t>Terms and Conditions</w:t>
      </w:r>
      <w:r w:rsidRPr="004E50EF">
        <w:rPr>
          <w:color w:val="000000"/>
        </w:rPr>
        <w:t xml:space="preserve">.  </w:t>
      </w:r>
    </w:p>
    <w:p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/>
        </w:rPr>
      </w:pPr>
    </w:p>
    <w:p w:rsidR="00BD0D2D" w:rsidRDefault="00BD0D2D" w:rsidP="00135DAC">
      <w:pPr>
        <w:pStyle w:val="ListParagraph"/>
        <w:numPr>
          <w:ilvl w:val="0"/>
          <w:numId w:val="19"/>
        </w:numPr>
        <w:tabs>
          <w:tab w:val="left" w:pos="2160"/>
        </w:tabs>
        <w:rPr>
          <w:color w:val="000000"/>
        </w:rPr>
      </w:pPr>
      <w:r w:rsidRPr="00BD0D2D">
        <w:rPr>
          <w:color w:val="000000"/>
        </w:rPr>
        <w:t xml:space="preserve">On </w:t>
      </w:r>
      <w:r>
        <w:rPr>
          <w:color w:val="000000"/>
        </w:rPr>
        <w:t>Attachment 3</w:t>
      </w:r>
      <w:r w:rsidRPr="00BD0D2D">
        <w:rPr>
          <w:color w:val="000000"/>
        </w:rPr>
        <w:t xml:space="preserve">, the Proposer must either indicate acceptance of the </w:t>
      </w:r>
      <w:r w:rsidR="00EC4775">
        <w:rPr>
          <w:color w:val="000000"/>
        </w:rPr>
        <w:t>Terms and Conditions</w:t>
      </w:r>
      <w:r w:rsidRPr="00BD0D2D">
        <w:rPr>
          <w:color w:val="000000"/>
        </w:rPr>
        <w:t xml:space="preserve"> or clearly identify exceptions to the </w:t>
      </w:r>
      <w:r w:rsidR="00EC4775">
        <w:rPr>
          <w:color w:val="000000"/>
        </w:rPr>
        <w:t>Terms and Conditions</w:t>
      </w:r>
      <w:r w:rsidRPr="00BD0D2D">
        <w:rPr>
          <w:color w:val="000000"/>
        </w:rPr>
        <w:t xml:space="preserve">.  </w:t>
      </w:r>
      <w:r w:rsidR="00312D1B">
        <w:rPr>
          <w:color w:val="000000"/>
        </w:rPr>
        <w:t>An “exception” includes any addition, deletion, or other modification.</w:t>
      </w:r>
      <w:r w:rsidR="00173CFE" w:rsidRPr="00173CFE">
        <w:rPr>
          <w:color w:val="000000"/>
        </w:rPr>
        <w:t xml:space="preserve">  </w:t>
      </w:r>
    </w:p>
    <w:p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/>
        </w:rPr>
      </w:pPr>
    </w:p>
    <w:p w:rsidR="004E50EF" w:rsidRDefault="00BD0D2D" w:rsidP="004E50EF">
      <w:pPr>
        <w:pStyle w:val="ListParagraph"/>
        <w:numPr>
          <w:ilvl w:val="0"/>
          <w:numId w:val="19"/>
        </w:numPr>
        <w:tabs>
          <w:tab w:val="left" w:pos="2160"/>
        </w:tabs>
        <w:rPr>
          <w:color w:val="000000"/>
        </w:rPr>
      </w:pP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must also submit </w:t>
      </w:r>
      <w:r w:rsidRPr="00BD0D2D">
        <w:rPr>
          <w:color w:val="000000"/>
        </w:rPr>
        <w:t xml:space="preserve">a red-lined version of the </w:t>
      </w:r>
      <w:r w:rsidR="00EC4775">
        <w:rPr>
          <w:color w:val="000000"/>
        </w:rPr>
        <w:t>Terms and Conditions</w:t>
      </w:r>
      <w:r w:rsidR="00EC4775" w:rsidRPr="00BD0D2D">
        <w:rPr>
          <w:color w:val="000000"/>
        </w:rPr>
        <w:t xml:space="preserve"> </w:t>
      </w:r>
      <w:r w:rsidRPr="00BD0D2D">
        <w:rPr>
          <w:color w:val="000000"/>
        </w:rPr>
        <w:t xml:space="preserve">that clearly tracks proposed </w:t>
      </w:r>
      <w:r>
        <w:rPr>
          <w:color w:val="000000"/>
        </w:rPr>
        <w:t xml:space="preserve">changes, and </w:t>
      </w:r>
      <w:r w:rsidRPr="00BD0D2D">
        <w:rPr>
          <w:color w:val="000000"/>
        </w:rPr>
        <w:t>a written explanation or rationale for each exception and/or proposed change.</w:t>
      </w:r>
      <w:r>
        <w:rPr>
          <w:color w:val="000000"/>
        </w:rPr>
        <w:t xml:space="preserve"> </w:t>
      </w:r>
    </w:p>
    <w:p w:rsidR="004E50EF" w:rsidRPr="004E50EF" w:rsidRDefault="004E50EF" w:rsidP="004E50EF">
      <w:pPr>
        <w:pStyle w:val="ListParagraph"/>
        <w:rPr>
          <w:color w:val="000000"/>
        </w:rPr>
      </w:pPr>
    </w:p>
    <w:p w:rsidR="007B0E96" w:rsidRPr="004E50EF" w:rsidRDefault="004E50EF" w:rsidP="004E50EF">
      <w:pPr>
        <w:pStyle w:val="ListParagraph"/>
        <w:tabs>
          <w:tab w:val="left" w:pos="2160"/>
        </w:tabs>
        <w:ind w:left="1530" w:hanging="810"/>
        <w:rPr>
          <w:color w:val="000000"/>
        </w:rPr>
      </w:pPr>
      <w:r w:rsidRPr="004E50EF">
        <w:rPr>
          <w:color w:val="000000" w:themeColor="text1"/>
        </w:rPr>
        <w:t xml:space="preserve">e.  </w:t>
      </w:r>
      <w:r>
        <w:rPr>
          <w:color w:val="000000" w:themeColor="text1"/>
        </w:rPr>
        <w:tab/>
      </w:r>
      <w:r w:rsidR="007B0E96" w:rsidRPr="004E50EF">
        <w:rPr>
          <w:color w:val="000000" w:themeColor="text1"/>
        </w:rPr>
        <w:t>Certifications</w:t>
      </w:r>
      <w:r w:rsidR="00595811" w:rsidRPr="004E50EF">
        <w:rPr>
          <w:color w:val="000000" w:themeColor="text1"/>
        </w:rPr>
        <w:t>, Attachments,</w:t>
      </w:r>
      <w:r w:rsidR="007B0E96" w:rsidRPr="004E50EF">
        <w:rPr>
          <w:color w:val="000000" w:themeColor="text1"/>
        </w:rPr>
        <w:t xml:space="preserve"> and other requirements. </w:t>
      </w:r>
    </w:p>
    <w:p w:rsidR="007B0E96" w:rsidRDefault="007B0E96" w:rsidP="007B0E96">
      <w:pPr>
        <w:ind w:left="1440" w:hanging="720"/>
        <w:rPr>
          <w:color w:val="000000" w:themeColor="text1"/>
        </w:rPr>
      </w:pPr>
    </w:p>
    <w:p w:rsidR="006D6DAB" w:rsidRPr="006D6DAB" w:rsidRDefault="006D6DAB" w:rsidP="006D6DAB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6D6DAB">
        <w:rPr>
          <w:color w:val="000000" w:themeColor="text1"/>
        </w:rPr>
        <w:t>Proposer must include the following certification in its proposal:</w:t>
      </w:r>
    </w:p>
    <w:p w:rsidR="006D6DAB" w:rsidRDefault="006D6DAB" w:rsidP="006D6DAB">
      <w:pPr>
        <w:ind w:left="2160" w:hanging="720"/>
        <w:rPr>
          <w:color w:val="000000" w:themeColor="text1"/>
        </w:rPr>
      </w:pPr>
    </w:p>
    <w:p w:rsidR="006D6DAB" w:rsidRDefault="006D6DAB" w:rsidP="006D6DAB">
      <w:pPr>
        <w:pStyle w:val="BodyText"/>
        <w:tabs>
          <w:tab w:val="num" w:pos="2250"/>
        </w:tabs>
        <w:ind w:left="2160"/>
      </w:pPr>
      <w:r>
        <w:t xml:space="preserve">Proposer certifies that it has no interest that would constitute a conflict of interest under California Public Contract Code sections 10365.5, 10410 or 10411; Government Code sections 1090 et seq. or 87100 et seq.; or rule 10.103 or rule 10.104 of the California Rules of Court, which restrict employees and former employees from contracting with judicial branch entities.     </w:t>
      </w:r>
    </w:p>
    <w:p w:rsidR="006D6DAB" w:rsidRDefault="006D6DAB" w:rsidP="006D6DAB">
      <w:pPr>
        <w:ind w:left="2160" w:hanging="720"/>
        <w:rPr>
          <w:color w:val="000000" w:themeColor="text1"/>
        </w:rPr>
      </w:pPr>
    </w:p>
    <w:p w:rsidR="006D6DAB" w:rsidRDefault="006D6DAB" w:rsidP="006D6DAB">
      <w:pPr>
        <w:ind w:left="2160" w:hanging="720"/>
      </w:pPr>
      <w:r>
        <w:rPr>
          <w:color w:val="000000" w:themeColor="text1"/>
        </w:rPr>
        <w:t>ii.</w:t>
      </w:r>
      <w:r>
        <w:rPr>
          <w:color w:val="000000" w:themeColor="text1"/>
        </w:rPr>
        <w:tab/>
      </w:r>
      <w:r>
        <w:t xml:space="preserve">Proposer must complete the Darfur Contracting Act Certification (Attachment 4) and submit the completed certification with its proposal. </w:t>
      </w:r>
    </w:p>
    <w:p w:rsidR="006D6DAB" w:rsidRDefault="006D6DAB" w:rsidP="006D6DAB">
      <w:pPr>
        <w:ind w:left="2160" w:hanging="720"/>
      </w:pPr>
    </w:p>
    <w:p w:rsidR="006D6DAB" w:rsidRDefault="006D6DAB" w:rsidP="006D6DAB">
      <w:pPr>
        <w:ind w:left="2160" w:hanging="720"/>
        <w:rPr>
          <w:color w:val="000000" w:themeColor="text1"/>
        </w:rPr>
      </w:pPr>
      <w:r>
        <w:rPr>
          <w:color w:val="000000" w:themeColor="text1"/>
        </w:rPr>
        <w:t>iii.</w:t>
      </w:r>
      <w:r>
        <w:rPr>
          <w:color w:val="000000" w:themeColor="text1"/>
        </w:rPr>
        <w:tab/>
      </w:r>
      <w:r>
        <w:rPr>
          <w:bCs/>
        </w:rPr>
        <w:t>If 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 Proposer is a corporation, limited liability </w:t>
      </w:r>
      <w:proofErr w:type="gramStart"/>
      <w:r>
        <w:rPr>
          <w:bCs/>
        </w:rPr>
        <w:t>company</w:t>
      </w:r>
      <w:proofErr w:type="gramEnd"/>
      <w:r>
        <w:rPr>
          <w:bCs/>
        </w:rPr>
        <w:t>, or limited partnership</w:t>
      </w:r>
      <w:r>
        <w:rPr>
          <w:color w:val="000000" w:themeColor="text1"/>
        </w:rPr>
        <w:t>, and (ii) the agreement resulting from this RFP will be performed in California</w:t>
      </w:r>
      <w:r>
        <w:rPr>
          <w:bCs/>
        </w:rPr>
        <w:t xml:space="preserve">, </w:t>
      </w:r>
      <w:r>
        <w:rPr>
          <w:color w:val="000000" w:themeColor="text1"/>
        </w:rPr>
        <w:t xml:space="preserve">proof that Proposer is in good standing and qualified to conduct business in California.  </w:t>
      </w:r>
    </w:p>
    <w:p w:rsidR="005E2F08" w:rsidRDefault="005E2F08" w:rsidP="005E2F08">
      <w:pPr>
        <w:pStyle w:val="ListParagraph"/>
        <w:rPr>
          <w:sz w:val="16"/>
          <w:szCs w:val="16"/>
        </w:rPr>
      </w:pPr>
    </w:p>
    <w:p w:rsidR="006D6DAB" w:rsidRPr="00360269" w:rsidRDefault="006D6DAB" w:rsidP="005E2F08">
      <w:pPr>
        <w:pStyle w:val="ListParagraph"/>
        <w:rPr>
          <w:sz w:val="16"/>
          <w:szCs w:val="16"/>
        </w:rPr>
      </w:pPr>
    </w:p>
    <w:p w:rsidR="005B04DF" w:rsidRPr="00D33EA6" w:rsidRDefault="00D84196" w:rsidP="004A770E">
      <w:pPr>
        <w:pStyle w:val="BodyTextIndent2"/>
        <w:keepNext/>
        <w:spacing w:after="0" w:line="240" w:lineRule="auto"/>
        <w:ind w:left="720" w:hanging="720"/>
      </w:pPr>
      <w:r>
        <w:t>6</w:t>
      </w:r>
      <w:r w:rsidR="005B04DF">
        <w:t>.2</w:t>
      </w:r>
      <w:r w:rsidR="005B04DF">
        <w:tab/>
      </w:r>
      <w:r w:rsidR="005B04DF">
        <w:rPr>
          <w:u w:val="single"/>
        </w:rPr>
        <w:t>Cost P</w:t>
      </w:r>
      <w:r w:rsidR="0022207C">
        <w:rPr>
          <w:u w:val="single"/>
        </w:rPr>
        <w:t>ortion</w:t>
      </w:r>
      <w:r w:rsidR="005B04DF">
        <w:t xml:space="preserve">.    </w:t>
      </w:r>
      <w:r w:rsidR="005B04DF" w:rsidRPr="00D33EA6">
        <w:t xml:space="preserve">The following information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 w:rsidR="0022207C">
        <w:t xml:space="preserve">portion of the </w:t>
      </w:r>
      <w:r w:rsidR="005B04DF">
        <w:t>proposal.</w:t>
      </w:r>
    </w:p>
    <w:p w:rsidR="00C40C8B" w:rsidRDefault="00C40C8B" w:rsidP="00135DAC">
      <w:pPr>
        <w:pStyle w:val="ListParagraph"/>
        <w:numPr>
          <w:ilvl w:val="0"/>
          <w:numId w:val="24"/>
        </w:numPr>
        <w:ind w:left="2246" w:right="475" w:hanging="720"/>
      </w:pPr>
      <w:r>
        <w:t xml:space="preserve">IT Services: </w:t>
      </w:r>
    </w:p>
    <w:p w:rsidR="00C40C8B" w:rsidRPr="00360269" w:rsidRDefault="00C40C8B" w:rsidP="00595822">
      <w:pPr>
        <w:ind w:left="2160" w:hanging="720"/>
        <w:rPr>
          <w:sz w:val="16"/>
          <w:szCs w:val="16"/>
        </w:rPr>
      </w:pPr>
    </w:p>
    <w:p w:rsidR="00246470" w:rsidRDefault="00246470" w:rsidP="002251AF">
      <w:pPr>
        <w:ind w:left="2880" w:hanging="720"/>
      </w:pPr>
      <w:proofErr w:type="spellStart"/>
      <w:r>
        <w:t>i</w:t>
      </w:r>
      <w:proofErr w:type="spellEnd"/>
      <w:r>
        <w:t>.</w:t>
      </w:r>
      <w:r>
        <w:tab/>
        <w:t xml:space="preserve">A detailed line item budget showing total cost of the proposed services.  </w:t>
      </w:r>
    </w:p>
    <w:p w:rsidR="00246470" w:rsidRDefault="00246470" w:rsidP="002251AF">
      <w:pPr>
        <w:ind w:left="2880" w:hanging="720"/>
      </w:pPr>
      <w:r>
        <w:t>ii.</w:t>
      </w:r>
      <w:r>
        <w:tab/>
        <w:t>A full explanation of all budget line items in a narrative entitled “Budget Justification.”</w:t>
      </w:r>
    </w:p>
    <w:p w:rsidR="00246470" w:rsidRDefault="00246470" w:rsidP="002251AF">
      <w:pPr>
        <w:ind w:left="2880" w:hanging="720"/>
      </w:pPr>
      <w:r>
        <w:t>iii</w:t>
      </w:r>
      <w:r w:rsidR="005F5C25">
        <w:t xml:space="preserve">. </w:t>
      </w:r>
      <w:r w:rsidR="005F5C25">
        <w:tab/>
        <w:t>A “not to exceed” total for all work and expenses payable under the contract, if awarded.</w:t>
      </w:r>
    </w:p>
    <w:p w:rsidR="005B04DF" w:rsidRPr="00360269" w:rsidRDefault="005B04DF" w:rsidP="00595822">
      <w:pPr>
        <w:ind w:left="2160" w:hanging="720"/>
        <w:rPr>
          <w:sz w:val="16"/>
          <w:szCs w:val="16"/>
        </w:rPr>
      </w:pPr>
    </w:p>
    <w:p w:rsidR="005B04DF" w:rsidRDefault="005B04DF" w:rsidP="005B04DF">
      <w:pPr>
        <w:ind w:left="720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:rsidR="002C64BD" w:rsidRDefault="002C64BD" w:rsidP="00BD65B9">
      <w:pPr>
        <w:keepNext/>
        <w:ind w:left="720" w:hanging="720"/>
        <w:rPr>
          <w:b/>
          <w:bCs/>
          <w:sz w:val="16"/>
          <w:szCs w:val="16"/>
        </w:rPr>
      </w:pPr>
    </w:p>
    <w:p w:rsidR="004E50EF" w:rsidRPr="00360269" w:rsidRDefault="004E50EF" w:rsidP="00BD65B9">
      <w:pPr>
        <w:keepNext/>
        <w:ind w:left="720" w:hanging="720"/>
        <w:rPr>
          <w:b/>
          <w:bCs/>
          <w:sz w:val="16"/>
          <w:szCs w:val="16"/>
        </w:rPr>
      </w:pPr>
    </w:p>
    <w:p w:rsidR="00173CFE" w:rsidRDefault="00D84196" w:rsidP="00135DAC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:rsidR="00135DAC" w:rsidRPr="00360269" w:rsidRDefault="00135DAC" w:rsidP="00135DAC">
      <w:pPr>
        <w:keepNext/>
        <w:ind w:left="720" w:hanging="720"/>
        <w:rPr>
          <w:b/>
          <w:bCs/>
          <w:sz w:val="16"/>
          <w:szCs w:val="16"/>
        </w:rPr>
      </w:pPr>
    </w:p>
    <w:p w:rsidR="00173CFE" w:rsidRDefault="00173CFE" w:rsidP="00135DAC">
      <w:pPr>
        <w:pStyle w:val="ExhibitC2"/>
        <w:numPr>
          <w:ilvl w:val="0"/>
          <w:numId w:val="0"/>
        </w:numPr>
        <w:spacing w:before="120" w:after="120"/>
        <w:ind w:left="720"/>
      </w:pPr>
      <w:r w:rsidRPr="009D1BBC">
        <w:rPr>
          <w:color w:val="000000" w:themeColor="text1"/>
        </w:rPr>
        <w:t xml:space="preserve">A Proposer's proposal is an irrevocable offer for </w:t>
      </w:r>
      <w:r w:rsidRPr="00173CFE">
        <w:rPr>
          <w:color w:val="000000" w:themeColor="text1"/>
        </w:rPr>
        <w:t xml:space="preserve">ninety (90)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>
        <w:t>Court</w:t>
      </w:r>
      <w:r w:rsidRPr="00FE488A">
        <w:t xml:space="preserve"> reserves the right to negotiate extensions to this period.</w:t>
      </w:r>
    </w:p>
    <w:p w:rsidR="006E3763" w:rsidRPr="00360269" w:rsidRDefault="006E3763" w:rsidP="006E3763">
      <w:pPr>
        <w:widowControl w:val="0"/>
        <w:ind w:left="720" w:hanging="720"/>
        <w:rPr>
          <w:b/>
          <w:bCs/>
          <w:sz w:val="16"/>
          <w:szCs w:val="16"/>
        </w:rPr>
      </w:pPr>
    </w:p>
    <w:p w:rsidR="006D6DAB" w:rsidRDefault="006D6DAB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:rsidR="006D6DAB" w:rsidRDefault="006D6DAB" w:rsidP="00BD65B9">
      <w:pPr>
        <w:keepNext/>
        <w:ind w:left="720" w:hanging="720"/>
        <w:rPr>
          <w:b/>
          <w:bCs/>
        </w:rPr>
      </w:pPr>
    </w:p>
    <w:p w:rsidR="00BD65B9" w:rsidRDefault="00D84196" w:rsidP="00BD65B9">
      <w:pPr>
        <w:keepNext/>
        <w:ind w:left="720" w:hanging="720"/>
        <w:rPr>
          <w:b/>
          <w:bCs/>
        </w:rPr>
      </w:pPr>
      <w:r>
        <w:rPr>
          <w:b/>
          <w:bCs/>
        </w:rPr>
        <w:t>8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:rsidR="00BD65B9" w:rsidRDefault="00BD65B9" w:rsidP="00135DAC">
      <w:pPr>
        <w:keepNext/>
      </w:pPr>
    </w:p>
    <w:p w:rsidR="00FB0DB0" w:rsidRDefault="00BD65B9" w:rsidP="00F95B39">
      <w:pPr>
        <w:widowControl w:val="0"/>
        <w:ind w:left="720"/>
      </w:pPr>
      <w:r>
        <w:t xml:space="preserve">The </w:t>
      </w:r>
      <w:r w:rsidR="008B50E8">
        <w:t>Court</w:t>
      </w:r>
      <w:r>
        <w:t xml:space="preserve"> will evaluate the proposals </w:t>
      </w:r>
      <w:r w:rsidR="00595822" w:rsidRPr="007962DC">
        <w:t xml:space="preserve">on a 100 point scale </w:t>
      </w:r>
      <w:r w:rsidR="00AC44D4"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="00AC44D4" w:rsidRPr="00AC44D4">
        <w:t>Award, if made, will be to the h</w:t>
      </w:r>
      <w:r w:rsidR="00776870">
        <w:t>ighest-</w:t>
      </w:r>
      <w:r w:rsidR="00AC44D4" w:rsidRPr="00AC44D4">
        <w:t>scored proposal.</w:t>
      </w:r>
      <w:r w:rsidR="00F95B39">
        <w:t xml:space="preserve">  </w:t>
      </w:r>
    </w:p>
    <w:p w:rsidR="00BD65B9" w:rsidRDefault="00BD65B9" w:rsidP="00BD65B9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6"/>
        <w:gridCol w:w="3279"/>
      </w:tblGrid>
      <w:tr w:rsidR="00BD65B9" w:rsidRPr="003B7ABC" w:rsidTr="008E4897">
        <w:trPr>
          <w:trHeight w:val="485"/>
          <w:tblHeader/>
        </w:trPr>
        <w:tc>
          <w:tcPr>
            <w:tcW w:w="5176" w:type="dxa"/>
            <w:shd w:val="clear" w:color="auto" w:fill="E6E6E6"/>
            <w:vAlign w:val="center"/>
          </w:tcPr>
          <w:p w:rsidR="00135DAC" w:rsidRDefault="00135DAC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:rsidR="00BD65B9" w:rsidRDefault="00BD65B9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="00595822">
              <w:rPr>
                <w:b/>
                <w:bCs/>
                <w:color w:val="000000"/>
              </w:rPr>
              <w:t>RITERION</w:t>
            </w:r>
          </w:p>
          <w:p w:rsidR="003A4D99" w:rsidRPr="00D77FEF" w:rsidRDefault="003A4D99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:rsidR="00BD65B9" w:rsidRPr="00D77FEF" w:rsidRDefault="00020D77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BD65B9" w:rsidRPr="003B7ABC" w:rsidTr="008E4897">
        <w:trPr>
          <w:trHeight w:val="593"/>
        </w:trPr>
        <w:tc>
          <w:tcPr>
            <w:tcW w:w="5176" w:type="dxa"/>
            <w:vAlign w:val="center"/>
          </w:tcPr>
          <w:p w:rsidR="00BD65B9" w:rsidRPr="00135DAC" w:rsidRDefault="004E50EF" w:rsidP="004E50EF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Guarantee</w:t>
            </w:r>
            <w:r w:rsidR="0057140F">
              <w:rPr>
                <w:b/>
              </w:rPr>
              <w:t xml:space="preserve"> Run of Class</w:t>
            </w:r>
          </w:p>
        </w:tc>
        <w:tc>
          <w:tcPr>
            <w:tcW w:w="3279" w:type="dxa"/>
            <w:vAlign w:val="center"/>
          </w:tcPr>
          <w:p w:rsidR="00BD65B9" w:rsidRPr="00135DAC" w:rsidRDefault="008E4897" w:rsidP="0057140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D65B9" w:rsidRPr="003B7ABC" w:rsidTr="008E4897">
        <w:trPr>
          <w:trHeight w:val="647"/>
        </w:trPr>
        <w:tc>
          <w:tcPr>
            <w:tcW w:w="5176" w:type="dxa"/>
            <w:vAlign w:val="center"/>
          </w:tcPr>
          <w:p w:rsidR="00BD65B9" w:rsidRPr="00135DAC" w:rsidRDefault="0057140F" w:rsidP="008E4897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Duration of Time </w:t>
            </w:r>
            <w:r w:rsidR="008E4897">
              <w:rPr>
                <w:b/>
              </w:rPr>
              <w:t>Online Video Access</w:t>
            </w:r>
          </w:p>
        </w:tc>
        <w:tc>
          <w:tcPr>
            <w:tcW w:w="3279" w:type="dxa"/>
            <w:vAlign w:val="center"/>
          </w:tcPr>
          <w:p w:rsidR="00BD65B9" w:rsidRPr="00135DAC" w:rsidRDefault="0057140F" w:rsidP="005F72D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D65B9" w:rsidRPr="003B7ABC" w:rsidTr="008E4897">
        <w:trPr>
          <w:trHeight w:val="647"/>
        </w:trPr>
        <w:tc>
          <w:tcPr>
            <w:tcW w:w="5176" w:type="dxa"/>
            <w:vAlign w:val="center"/>
          </w:tcPr>
          <w:p w:rsidR="00BD65B9" w:rsidRPr="00135DAC" w:rsidRDefault="00595822" w:rsidP="00595822">
            <w:pPr>
              <w:widowControl w:val="0"/>
              <w:rPr>
                <w:b/>
                <w:bCs/>
              </w:rPr>
            </w:pPr>
            <w:r w:rsidRPr="00135DAC">
              <w:rPr>
                <w:b/>
              </w:rPr>
              <w:t xml:space="preserve">Cost </w:t>
            </w:r>
          </w:p>
        </w:tc>
        <w:tc>
          <w:tcPr>
            <w:tcW w:w="3279" w:type="dxa"/>
            <w:vAlign w:val="center"/>
          </w:tcPr>
          <w:p w:rsidR="00BD65B9" w:rsidRPr="00135DAC" w:rsidRDefault="008E4897" w:rsidP="0057140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95822" w:rsidRPr="003B7ABC" w:rsidTr="008E4897">
        <w:trPr>
          <w:trHeight w:val="539"/>
        </w:trPr>
        <w:tc>
          <w:tcPr>
            <w:tcW w:w="5176" w:type="dxa"/>
            <w:vAlign w:val="center"/>
          </w:tcPr>
          <w:p w:rsidR="00595822" w:rsidRPr="00135DAC" w:rsidRDefault="005F597D" w:rsidP="00B23242">
            <w:pPr>
              <w:widowControl w:val="0"/>
              <w:ind w:right="576"/>
              <w:rPr>
                <w:b/>
              </w:rPr>
            </w:pPr>
            <w:r w:rsidRPr="00135DAC">
              <w:rPr>
                <w:b/>
              </w:rPr>
              <w:t xml:space="preserve">Acceptance of </w:t>
            </w:r>
            <w:r w:rsidR="00B23242" w:rsidRPr="00135DAC">
              <w:rPr>
                <w:b/>
              </w:rPr>
              <w:t xml:space="preserve">the </w:t>
            </w:r>
            <w:r w:rsidR="00EC4775" w:rsidRPr="00135DAC">
              <w:rPr>
                <w:b/>
              </w:rPr>
              <w:t xml:space="preserve"> Terms and Conditions</w:t>
            </w:r>
          </w:p>
        </w:tc>
        <w:tc>
          <w:tcPr>
            <w:tcW w:w="3279" w:type="dxa"/>
            <w:vAlign w:val="center"/>
          </w:tcPr>
          <w:p w:rsidR="00595822" w:rsidRPr="00135DAC" w:rsidRDefault="008E4897" w:rsidP="00D77D4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D65B9" w:rsidRPr="003B7ABC" w:rsidTr="008E4897">
        <w:trPr>
          <w:trHeight w:val="467"/>
        </w:trPr>
        <w:tc>
          <w:tcPr>
            <w:tcW w:w="5176" w:type="dxa"/>
            <w:vAlign w:val="center"/>
          </w:tcPr>
          <w:p w:rsidR="00BD65B9" w:rsidRPr="00135DAC" w:rsidRDefault="008E4897" w:rsidP="005F72D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Live Instructor via Remote Access</w:t>
            </w:r>
          </w:p>
        </w:tc>
        <w:tc>
          <w:tcPr>
            <w:tcW w:w="3279" w:type="dxa"/>
            <w:vAlign w:val="center"/>
          </w:tcPr>
          <w:p w:rsidR="00BD65B9" w:rsidRPr="00135DAC" w:rsidRDefault="008E4897" w:rsidP="005F72D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35DAC" w:rsidRPr="003B7ABC" w:rsidTr="008E4897">
        <w:trPr>
          <w:trHeight w:val="520"/>
        </w:trPr>
        <w:tc>
          <w:tcPr>
            <w:tcW w:w="5176" w:type="dxa"/>
            <w:vAlign w:val="center"/>
          </w:tcPr>
          <w:p w:rsidR="00135DAC" w:rsidRPr="00135DAC" w:rsidRDefault="00135DAC" w:rsidP="005F72D9">
            <w:pPr>
              <w:widowControl w:val="0"/>
              <w:rPr>
                <w:b/>
              </w:rPr>
            </w:pPr>
            <w:r>
              <w:rPr>
                <w:b/>
              </w:rPr>
              <w:t>TOTAL POINTS</w:t>
            </w:r>
          </w:p>
        </w:tc>
        <w:tc>
          <w:tcPr>
            <w:tcW w:w="3279" w:type="dxa"/>
            <w:vAlign w:val="center"/>
          </w:tcPr>
          <w:p w:rsidR="00135DAC" w:rsidRPr="00135DAC" w:rsidRDefault="00135DAC" w:rsidP="005F72D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C37FF7" w:rsidRDefault="00C37FF7"/>
    <w:p w:rsidR="006562BF" w:rsidRPr="005E0EE1" w:rsidRDefault="004E50EF" w:rsidP="006562BF">
      <w:pPr>
        <w:keepNext/>
        <w:ind w:left="720" w:hanging="720"/>
        <w:rPr>
          <w:b/>
          <w:bCs/>
        </w:rPr>
      </w:pPr>
      <w:r>
        <w:rPr>
          <w:b/>
          <w:bCs/>
        </w:rPr>
        <w:t>9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  <w:t>CONFIDENTIAL OR PROPRIETARY INFORMATION</w:t>
      </w:r>
    </w:p>
    <w:p w:rsidR="006562BF" w:rsidRPr="00E46BDC" w:rsidRDefault="006562BF" w:rsidP="006562BF">
      <w:pPr>
        <w:pStyle w:val="RFPA"/>
        <w:keepNext/>
        <w:numPr>
          <w:ilvl w:val="0"/>
          <w:numId w:val="0"/>
        </w:numPr>
        <w:ind w:left="720" w:hanging="720"/>
        <w:rPr>
          <w:sz w:val="20"/>
          <w:szCs w:val="20"/>
        </w:rPr>
      </w:pPr>
    </w:p>
    <w:p w:rsidR="00B119F4" w:rsidRDefault="00B119F4" w:rsidP="00B119F4">
      <w:pPr>
        <w:pStyle w:val="BodyTextIndent"/>
        <w:spacing w:after="240"/>
        <w:ind w:left="720"/>
      </w:pPr>
      <w:r>
        <w:t xml:space="preserve">One copy of each </w:t>
      </w:r>
      <w:r w:rsidRPr="005E0EE1">
        <w:t xml:space="preserve">proposal will be retained </w:t>
      </w:r>
      <w:r>
        <w:t xml:space="preserve">by the Court </w:t>
      </w:r>
      <w:r w:rsidRPr="005E0EE1">
        <w:t xml:space="preserve">for official files and </w:t>
      </w:r>
      <w:r>
        <w:t xml:space="preserve">will </w:t>
      </w:r>
      <w:r w:rsidRPr="005E0EE1">
        <w:t>become a public record</w:t>
      </w:r>
      <w:r>
        <w:t>.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California judicial branch entities are subject to </w:t>
      </w:r>
      <w:r>
        <w:rPr>
          <w:color w:val="000000" w:themeColor="text1"/>
        </w:rPr>
        <w:t xml:space="preserve">rule 10.500 of the </w:t>
      </w:r>
      <w:r w:rsidRPr="0046465F">
        <w:rPr>
          <w:color w:val="000000" w:themeColor="text1"/>
        </w:rPr>
        <w:t>California Rule of Court, which governs public access to judicial administrative records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(see</w:t>
      </w:r>
      <w:r>
        <w:rPr>
          <w:color w:val="000000" w:themeColor="text1"/>
        </w:rPr>
        <w:t xml:space="preserve"> </w:t>
      </w:r>
      <w:hyperlink r:id="rId13" w:history="1">
        <w:r w:rsidRPr="006E3763">
          <w:rPr>
            <w:rStyle w:val="Hyperlink"/>
            <w:i/>
          </w:rPr>
          <w:t>www.courtinfo.ca.gov/cms/rules/index.cfm?title=ten&amp;linkid=rule10_500</w:t>
        </w:r>
      </w:hyperlink>
      <w:r w:rsidRPr="0046465F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B119F4" w:rsidRDefault="00B119F4" w:rsidP="00B119F4">
      <w:pPr>
        <w:pStyle w:val="BodyTextIndent"/>
        <w:spacing w:after="240"/>
        <w:ind w:left="720"/>
      </w:pPr>
      <w:r w:rsidRPr="00011B71">
        <w:t xml:space="preserve">If information submitted </w:t>
      </w:r>
      <w:r>
        <w:t xml:space="preserve">in a proposal </w:t>
      </w:r>
      <w:r w:rsidRPr="00011B71">
        <w:t xml:space="preserve">contains material noted or marked as confidential and/or proprietary that, in the </w:t>
      </w:r>
      <w:r>
        <w:t>Court</w:t>
      </w:r>
      <w:r w:rsidRPr="00011B71">
        <w:t xml:space="preserve">’s sole opinion, meets the disclosure exemption requirements of Rule 10.500, then that information will not be disclosed </w:t>
      </w:r>
      <w:r>
        <w:t xml:space="preserve">upon </w:t>
      </w:r>
      <w:r w:rsidRPr="00011B71">
        <w:t xml:space="preserve">a request for </w:t>
      </w:r>
      <w:r w:rsidRPr="00565EC6">
        <w:t xml:space="preserve">access to </w:t>
      </w:r>
      <w:r>
        <w:t>such records</w:t>
      </w:r>
      <w:r w:rsidRPr="00011B71">
        <w:t xml:space="preserve">. </w:t>
      </w:r>
      <w:r w:rsidRPr="00953A7F">
        <w:t xml:space="preserve"> If the </w:t>
      </w:r>
      <w:r>
        <w:t>Court</w:t>
      </w:r>
      <w:r w:rsidRPr="00953A7F">
        <w:t xml:space="preserve"> finds or reasonably believes that the material so marked is </w:t>
      </w:r>
      <w:r w:rsidRPr="00953A7F">
        <w:rPr>
          <w:b/>
        </w:rPr>
        <w:t>not</w:t>
      </w:r>
      <w:r w:rsidRPr="00953A7F">
        <w:t xml:space="preserve"> exempt from disclosure, the </w:t>
      </w:r>
      <w:r>
        <w:t>Court</w:t>
      </w:r>
      <w:r w:rsidRPr="00953A7F">
        <w:t xml:space="preserve"> will disclose the information regardless of the marking or notation seeking confidential treatment.</w:t>
      </w:r>
    </w:p>
    <w:p w:rsidR="00B119F4" w:rsidRDefault="00B119F4" w:rsidP="00B119F4">
      <w:pPr>
        <w:pStyle w:val="BodyTextIndent"/>
        <w:spacing w:after="240"/>
        <w:ind w:left="720"/>
      </w:pPr>
      <w:r w:rsidRPr="005B19D5">
        <w:t xml:space="preserve">Notwithstanding the above, the California Public Contract Code requires the public </w:t>
      </w:r>
      <w:r w:rsidR="00F00B0F">
        <w:t>opening</w:t>
      </w:r>
      <w:r w:rsidRPr="005B19D5">
        <w:t xml:space="preserve"> of certain proposals.  If required to do so by the Public Contract Code, a Court may disclose all information contained in a proposal, including information marked as confidential or proprietary.</w:t>
      </w:r>
    </w:p>
    <w:p w:rsidR="0096746C" w:rsidRDefault="0096746C" w:rsidP="00B119F4">
      <w:pPr>
        <w:pStyle w:val="BodyTextIndent"/>
        <w:spacing w:after="240"/>
        <w:ind w:left="720"/>
      </w:pPr>
    </w:p>
    <w:p w:rsidR="00825BC4" w:rsidRDefault="00512CCE" w:rsidP="00825BC4">
      <w:pPr>
        <w:keepNext/>
        <w:ind w:left="720" w:hanging="720"/>
        <w:rPr>
          <w:b/>
          <w:bCs/>
        </w:rPr>
      </w:pPr>
      <w:r>
        <w:rPr>
          <w:b/>
          <w:bCs/>
        </w:rPr>
        <w:t>1</w:t>
      </w:r>
      <w:r w:rsidR="004E50EF">
        <w:rPr>
          <w:b/>
          <w:bCs/>
        </w:rPr>
        <w:t>0</w:t>
      </w:r>
      <w:r w:rsidR="00B94738">
        <w:rPr>
          <w:b/>
          <w:bCs/>
        </w:rPr>
        <w:t>.0</w:t>
      </w:r>
      <w:r w:rsidR="00B94738">
        <w:rPr>
          <w:b/>
          <w:bCs/>
        </w:rPr>
        <w:tab/>
        <w:t xml:space="preserve">DISABLED VETERAN BUSINESS </w:t>
      </w:r>
      <w:r w:rsidR="00825BC4">
        <w:rPr>
          <w:b/>
          <w:bCs/>
        </w:rPr>
        <w:t>ENTERPRISE PARTICIPATION GOALS</w:t>
      </w:r>
    </w:p>
    <w:p w:rsidR="00825BC4" w:rsidRPr="00360269" w:rsidRDefault="00825BC4" w:rsidP="00360269">
      <w:pPr>
        <w:pStyle w:val="BodyText"/>
        <w:spacing w:after="0"/>
        <w:rPr>
          <w:color w:val="000000" w:themeColor="text1"/>
          <w:sz w:val="20"/>
          <w:szCs w:val="20"/>
        </w:rPr>
      </w:pPr>
    </w:p>
    <w:p w:rsidR="00135DAC" w:rsidRDefault="00135DAC" w:rsidP="00135DAC">
      <w:pPr>
        <w:spacing w:after="200" w:line="252" w:lineRule="auto"/>
        <w:ind w:left="720"/>
        <w:contextualSpacing/>
      </w:pPr>
      <w:r w:rsidRPr="008D1444">
        <w:t>The Court</w:t>
      </w:r>
      <w:r w:rsidR="004E50EF">
        <w:t xml:space="preserve"> has waived the inclusion of DVBE participation in this solicitation.</w:t>
      </w:r>
    </w:p>
    <w:p w:rsidR="00053778" w:rsidRPr="0046465F" w:rsidRDefault="00135DAC" w:rsidP="004E50EF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1</w:t>
      </w:r>
      <w:r w:rsidR="004E50E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</w:r>
      <w:r w:rsidR="00053778">
        <w:rPr>
          <w:rFonts w:ascii="Times New Roman Bold" w:hAnsi="Times New Roman Bold"/>
          <w:b/>
          <w:caps/>
          <w:color w:val="000000" w:themeColor="text1"/>
          <w:szCs w:val="20"/>
        </w:rPr>
        <w:t>PROTESTs</w:t>
      </w:r>
    </w:p>
    <w:p w:rsidR="00135DAC" w:rsidRDefault="00135DAC" w:rsidP="00135DAC">
      <w:pPr>
        <w:ind w:left="720"/>
        <w:rPr>
          <w:b/>
        </w:rPr>
      </w:pPr>
      <w:r w:rsidRPr="00F3548B">
        <w:rPr>
          <w:color w:val="000000" w:themeColor="text1"/>
        </w:rPr>
        <w:t>Any protests will be handled in accordance with Chapter 7 of the Judicial Branch Contract Manual</w:t>
      </w:r>
      <w:r>
        <w:rPr>
          <w:color w:val="000000" w:themeColor="text1"/>
        </w:rPr>
        <w:t xml:space="preserve"> (see </w:t>
      </w:r>
      <w:hyperlink r:id="rId14" w:history="1">
        <w:r w:rsidRPr="006E3763">
          <w:rPr>
            <w:rStyle w:val="Hyperlink"/>
            <w:i/>
          </w:rPr>
          <w:t>www.courts.ca.gov/documents/jbcl-manual.pdf</w:t>
        </w:r>
      </w:hyperlink>
      <w:r w:rsidRPr="00166197">
        <w:rPr>
          <w:color w:val="000000" w:themeColor="text1"/>
        </w:rPr>
        <w:t>)</w:t>
      </w:r>
      <w:r>
        <w:rPr>
          <w:color w:val="000000" w:themeColor="text1"/>
        </w:rPr>
        <w:t>.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>
        <w:rPr>
          <w:color w:val="000000" w:themeColor="text1"/>
        </w:rPr>
        <w:t>Court</w:t>
      </w:r>
      <w:r w:rsidRPr="005A3E81">
        <w:rPr>
          <w:color w:val="000000" w:themeColor="text1"/>
        </w:rPr>
        <w:t xml:space="preserve"> to receive a solicitation specifications protest is </w:t>
      </w:r>
      <w:r w:rsidRPr="00A35A67">
        <w:rPr>
          <w:b/>
        </w:rPr>
        <w:t xml:space="preserve">3:00 PM </w:t>
      </w:r>
    </w:p>
    <w:p w:rsidR="00135DAC" w:rsidRDefault="00B43C1D" w:rsidP="00135DAC">
      <w:pPr>
        <w:ind w:left="720"/>
        <w:rPr>
          <w:noProof/>
          <w:color w:val="000000" w:themeColor="text1"/>
          <w:szCs w:val="20"/>
        </w:rPr>
      </w:pPr>
      <w:r>
        <w:rPr>
          <w:b/>
        </w:rPr>
        <w:t>June</w:t>
      </w:r>
      <w:r w:rsidR="00360269">
        <w:rPr>
          <w:b/>
        </w:rPr>
        <w:t xml:space="preserve"> </w:t>
      </w:r>
      <w:r>
        <w:rPr>
          <w:b/>
        </w:rPr>
        <w:t>26</w:t>
      </w:r>
      <w:r w:rsidR="00360269">
        <w:rPr>
          <w:b/>
        </w:rPr>
        <w:t>, 2017</w:t>
      </w:r>
      <w:r w:rsidR="00135DAC" w:rsidRPr="005A3E81">
        <w:rPr>
          <w:color w:val="000000" w:themeColor="text1"/>
        </w:rPr>
        <w:t xml:space="preserve">. </w:t>
      </w:r>
      <w:r w:rsidR="00135DAC">
        <w:rPr>
          <w:color w:val="000000" w:themeColor="text1"/>
        </w:rPr>
        <w:t xml:space="preserve">Protests should be sent to: </w:t>
      </w:r>
    </w:p>
    <w:p w:rsidR="00135DAC" w:rsidRDefault="00135DAC" w:rsidP="00135DAC">
      <w:pPr>
        <w:ind w:left="720"/>
        <w:rPr>
          <w:noProof/>
          <w:color w:val="000000" w:themeColor="text1"/>
          <w:szCs w:val="20"/>
        </w:rPr>
      </w:pPr>
    </w:p>
    <w:p w:rsidR="00135DAC" w:rsidRPr="00693F19" w:rsidRDefault="00135DAC" w:rsidP="00135DAC">
      <w:pPr>
        <w:ind w:left="1440"/>
      </w:pPr>
      <w:r w:rsidRPr="00693F19">
        <w:t>Superior Court of California</w:t>
      </w:r>
    </w:p>
    <w:p w:rsidR="00135DAC" w:rsidRDefault="00135DAC" w:rsidP="00135DAC">
      <w:pPr>
        <w:ind w:left="1440"/>
      </w:pPr>
      <w:r w:rsidRPr="00693F19">
        <w:t xml:space="preserve">County of </w:t>
      </w:r>
      <w:r w:rsidR="00727D2F">
        <w:t>Ventura</w:t>
      </w:r>
    </w:p>
    <w:p w:rsidR="00135DAC" w:rsidRDefault="00135DAC" w:rsidP="00135DAC">
      <w:pPr>
        <w:ind w:left="1440"/>
      </w:pPr>
      <w:r>
        <w:t xml:space="preserve">Legal Research – </w:t>
      </w:r>
      <w:r w:rsidR="00727D2F">
        <w:t>Brenda McCormick</w:t>
      </w:r>
      <w:r>
        <w:t xml:space="preserve">, </w:t>
      </w:r>
      <w:r w:rsidR="00727D2F">
        <w:t xml:space="preserve">General </w:t>
      </w:r>
      <w:r>
        <w:t>Counsel</w:t>
      </w:r>
    </w:p>
    <w:p w:rsidR="00135DAC" w:rsidRDefault="00727D2F" w:rsidP="00135DAC">
      <w:pPr>
        <w:ind w:left="1440"/>
      </w:pPr>
      <w:r>
        <w:t>800 S. Victoria Ave.</w:t>
      </w:r>
    </w:p>
    <w:p w:rsidR="00135DAC" w:rsidRDefault="00727D2F" w:rsidP="00135DAC">
      <w:pPr>
        <w:ind w:left="1440"/>
      </w:pPr>
      <w:r>
        <w:t>Ventura</w:t>
      </w:r>
      <w:r w:rsidR="00135DAC">
        <w:t>, CA 9</w:t>
      </w:r>
      <w:r>
        <w:t>3009</w:t>
      </w:r>
    </w:p>
    <w:p w:rsidR="00727D2F" w:rsidRDefault="00727D2F" w:rsidP="00135DAC">
      <w:pPr>
        <w:ind w:left="1440"/>
      </w:pPr>
    </w:p>
    <w:p w:rsidR="00C662D1" w:rsidRPr="00B43C1D" w:rsidRDefault="00135DAC" w:rsidP="00B43C1D">
      <w:pPr>
        <w:spacing w:after="240"/>
        <w:ind w:left="720"/>
        <w:rPr>
          <w:rFonts w:asciiTheme="minorHAnsi" w:hAnsiTheme="minorHAnsi" w:cstheme="minorHAnsi"/>
        </w:rPr>
      </w:pPr>
      <w:r w:rsidRPr="00A777A1">
        <w:rPr>
          <w:rFonts w:asciiTheme="minorHAnsi" w:hAnsiTheme="minorHAnsi" w:cstheme="minorHAnsi"/>
        </w:rPr>
        <w:t xml:space="preserve">Throughout the review process, the court has no obligation to delay or otherwise postpone an award of contract based on a proposer protest.  In all cases, the court reserves the right to make an award when it is determined to be in the best </w:t>
      </w:r>
      <w:r>
        <w:rPr>
          <w:rFonts w:asciiTheme="minorHAnsi" w:hAnsiTheme="minorHAnsi" w:cstheme="minorHAnsi"/>
        </w:rPr>
        <w:t>interest of the court to do so.</w:t>
      </w:r>
    </w:p>
    <w:sectPr w:rsidR="00C662D1" w:rsidRPr="00B43C1D" w:rsidSect="0088206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6B" w:rsidRDefault="00AB7F6B" w:rsidP="00C37FF7">
      <w:r>
        <w:separator/>
      </w:r>
    </w:p>
  </w:endnote>
  <w:endnote w:type="continuationSeparator" w:id="0">
    <w:p w:rsidR="00AB7F6B" w:rsidRDefault="00AB7F6B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C8" w:rsidRDefault="0008045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Pr="00A90E8F">
          <w:rPr>
            <w:sz w:val="20"/>
            <w:szCs w:val="20"/>
          </w:rPr>
          <w:fldChar w:fldCharType="begin"/>
        </w:r>
        <w:r w:rsidR="002C07C8" w:rsidRPr="00A90E8F">
          <w:rPr>
            <w:sz w:val="20"/>
            <w:szCs w:val="20"/>
          </w:rPr>
          <w:instrText xml:space="preserve"> PAGE   \* MERGEFORMAT </w:instrText>
        </w:r>
        <w:r w:rsidRPr="00A90E8F">
          <w:rPr>
            <w:sz w:val="20"/>
            <w:szCs w:val="20"/>
          </w:rPr>
          <w:fldChar w:fldCharType="separate"/>
        </w:r>
        <w:r w:rsidR="00E5524C">
          <w:rPr>
            <w:noProof/>
            <w:sz w:val="20"/>
            <w:szCs w:val="20"/>
          </w:rPr>
          <w:t>6</w:t>
        </w:r>
        <w:r w:rsidRPr="00A90E8F">
          <w:rPr>
            <w:sz w:val="20"/>
            <w:szCs w:val="20"/>
          </w:rPr>
          <w:fldChar w:fldCharType="end"/>
        </w:r>
        <w:r w:rsidR="002C07C8" w:rsidRPr="00A90E8F">
          <w:rPr>
            <w:sz w:val="20"/>
            <w:szCs w:val="20"/>
          </w:rPr>
          <w:tab/>
        </w:r>
        <w:r w:rsidR="002C07C8" w:rsidRPr="00A90E8F">
          <w:rPr>
            <w:sz w:val="20"/>
            <w:szCs w:val="20"/>
          </w:rPr>
          <w:tab/>
          <w:t xml:space="preserve">rev </w:t>
        </w:r>
        <w:r w:rsidR="00B3268A">
          <w:rPr>
            <w:sz w:val="20"/>
            <w:szCs w:val="20"/>
          </w:rPr>
          <w:t>5-2017</w:t>
        </w:r>
      </w:sdtContent>
    </w:sdt>
  </w:p>
  <w:p w:rsidR="002C07C8" w:rsidRDefault="002C0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6B" w:rsidRDefault="00AB7F6B" w:rsidP="00C37FF7">
      <w:r>
        <w:separator/>
      </w:r>
    </w:p>
  </w:footnote>
  <w:footnote w:type="continuationSeparator" w:id="0">
    <w:p w:rsidR="00AB7F6B" w:rsidRDefault="00AB7F6B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C8" w:rsidRPr="00170747" w:rsidRDefault="002C07C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70747">
      <w:t xml:space="preserve">RFQ Title:  </w:t>
    </w:r>
    <w:r w:rsidRPr="00170747">
      <w:rPr>
        <w:sz w:val="22"/>
        <w:szCs w:val="22"/>
      </w:rPr>
      <w:t xml:space="preserve">  </w:t>
    </w:r>
    <w:r w:rsidR="00B43C1D">
      <w:rPr>
        <w:sz w:val="22"/>
        <w:szCs w:val="22"/>
      </w:rPr>
      <w:t>Online IT Training</w:t>
    </w:r>
  </w:p>
  <w:p w:rsidR="002C07C8" w:rsidRPr="00170747" w:rsidRDefault="002C07C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70747">
      <w:t xml:space="preserve">RFQ Number:  </w:t>
    </w:r>
    <w:r w:rsidRPr="00170747">
      <w:rPr>
        <w:sz w:val="22"/>
        <w:szCs w:val="22"/>
      </w:rPr>
      <w:t xml:space="preserve"> </w:t>
    </w:r>
    <w:r w:rsidR="00B3268A">
      <w:rPr>
        <w:i/>
        <w:sz w:val="22"/>
        <w:szCs w:val="22"/>
      </w:rPr>
      <w:t>1</w:t>
    </w:r>
    <w:r w:rsidR="00FE71A3">
      <w:rPr>
        <w:i/>
        <w:sz w:val="22"/>
        <w:szCs w:val="22"/>
      </w:rPr>
      <w:t>7</w:t>
    </w:r>
    <w:r w:rsidR="00170747" w:rsidRPr="00170747">
      <w:rPr>
        <w:i/>
        <w:sz w:val="22"/>
        <w:szCs w:val="22"/>
      </w:rPr>
      <w:t>1</w:t>
    </w:r>
    <w:r w:rsidR="00FE71A3">
      <w:rPr>
        <w:i/>
        <w:sz w:val="22"/>
        <w:szCs w:val="22"/>
      </w:rPr>
      <w:t>8</w:t>
    </w:r>
    <w:r w:rsidR="00170747" w:rsidRPr="00170747">
      <w:rPr>
        <w:i/>
        <w:sz w:val="22"/>
        <w:szCs w:val="22"/>
      </w:rPr>
      <w:t>-1</w:t>
    </w:r>
    <w:r w:rsidR="00B43C1D">
      <w:rPr>
        <w:i/>
        <w:sz w:val="22"/>
        <w:szCs w:val="22"/>
      </w:rPr>
      <w:t>1</w:t>
    </w:r>
  </w:p>
  <w:p w:rsidR="002C07C8" w:rsidRDefault="002C07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D80"/>
    <w:multiLevelType w:val="hybridMultilevel"/>
    <w:tmpl w:val="F0DAA1AC"/>
    <w:lvl w:ilvl="0" w:tplc="80C80194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E7A0F33"/>
    <w:multiLevelType w:val="hybridMultilevel"/>
    <w:tmpl w:val="7A269B3C"/>
    <w:lvl w:ilvl="0" w:tplc="F55C691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1F74809"/>
    <w:multiLevelType w:val="hybridMultilevel"/>
    <w:tmpl w:val="AD7CEBC0"/>
    <w:lvl w:ilvl="0" w:tplc="40E8953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6390"/>
    <w:multiLevelType w:val="hybridMultilevel"/>
    <w:tmpl w:val="A91AD254"/>
    <w:lvl w:ilvl="0" w:tplc="0409001B">
      <w:start w:val="1"/>
      <w:numFmt w:val="lowerRoman"/>
      <w:lvlText w:val="%1."/>
      <w:lvlJc w:val="righ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2B4432"/>
    <w:multiLevelType w:val="hybridMultilevel"/>
    <w:tmpl w:val="D83AE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8">
    <w:nsid w:val="37057F34"/>
    <w:multiLevelType w:val="hybridMultilevel"/>
    <w:tmpl w:val="EC1C7BE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425E8C"/>
    <w:multiLevelType w:val="hybridMultilevel"/>
    <w:tmpl w:val="29F8913A"/>
    <w:lvl w:ilvl="0" w:tplc="402A1B4A">
      <w:start w:val="5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B58D1"/>
    <w:multiLevelType w:val="hybridMultilevel"/>
    <w:tmpl w:val="0170A62E"/>
    <w:lvl w:ilvl="0" w:tplc="72EC58D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DC2AFC"/>
    <w:multiLevelType w:val="hybridMultilevel"/>
    <w:tmpl w:val="2D4C30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CB30F05"/>
    <w:multiLevelType w:val="hybridMultilevel"/>
    <w:tmpl w:val="F0DAA1AC"/>
    <w:lvl w:ilvl="0" w:tplc="80C80194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9">
    <w:nsid w:val="5E8F653F"/>
    <w:multiLevelType w:val="hybridMultilevel"/>
    <w:tmpl w:val="FFDC2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AB5498"/>
    <w:multiLevelType w:val="hybridMultilevel"/>
    <w:tmpl w:val="6F4629F6"/>
    <w:lvl w:ilvl="0" w:tplc="B1A6D65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37E1833"/>
    <w:multiLevelType w:val="hybridMultilevel"/>
    <w:tmpl w:val="DAC8E70A"/>
    <w:lvl w:ilvl="0" w:tplc="300A39E2">
      <w:start w:val="2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4">
    <w:nsid w:val="65301E11"/>
    <w:multiLevelType w:val="hybridMultilevel"/>
    <w:tmpl w:val="EC5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B6EF5"/>
    <w:multiLevelType w:val="hybridMultilevel"/>
    <w:tmpl w:val="FCA87CE4"/>
    <w:lvl w:ilvl="0" w:tplc="4B1608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C210B48"/>
    <w:multiLevelType w:val="hybridMultilevel"/>
    <w:tmpl w:val="2DE28892"/>
    <w:lvl w:ilvl="0" w:tplc="BD18E254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AA97318"/>
    <w:multiLevelType w:val="hybridMultilevel"/>
    <w:tmpl w:val="50B24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6814B4"/>
    <w:multiLevelType w:val="hybridMultilevel"/>
    <w:tmpl w:val="01E05956"/>
    <w:lvl w:ilvl="0" w:tplc="4F1C4F8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18"/>
  </w:num>
  <w:num w:numId="5">
    <w:abstractNumId w:val="1"/>
  </w:num>
  <w:num w:numId="6">
    <w:abstractNumId w:val="20"/>
  </w:num>
  <w:num w:numId="7">
    <w:abstractNumId w:val="9"/>
  </w:num>
  <w:num w:numId="8">
    <w:abstractNumId w:val="5"/>
  </w:num>
  <w:num w:numId="9">
    <w:abstractNumId w:val="7"/>
  </w:num>
  <w:num w:numId="10">
    <w:abstractNumId w:val="24"/>
  </w:num>
  <w:num w:numId="11">
    <w:abstractNumId w:val="12"/>
  </w:num>
  <w:num w:numId="12">
    <w:abstractNumId w:val="16"/>
  </w:num>
  <w:num w:numId="13">
    <w:abstractNumId w:val="27"/>
  </w:num>
  <w:num w:numId="14">
    <w:abstractNumId w:val="19"/>
  </w:num>
  <w:num w:numId="15">
    <w:abstractNumId w:val="2"/>
  </w:num>
  <w:num w:numId="16">
    <w:abstractNumId w:val="6"/>
  </w:num>
  <w:num w:numId="17">
    <w:abstractNumId w:val="8"/>
  </w:num>
  <w:num w:numId="18">
    <w:abstractNumId w:val="15"/>
  </w:num>
  <w:num w:numId="19">
    <w:abstractNumId w:val="21"/>
  </w:num>
  <w:num w:numId="20">
    <w:abstractNumId w:val="28"/>
  </w:num>
  <w:num w:numId="21">
    <w:abstractNumId w:val="3"/>
  </w:num>
  <w:num w:numId="22">
    <w:abstractNumId w:val="26"/>
  </w:num>
  <w:num w:numId="23">
    <w:abstractNumId w:val="22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4"/>
  </w:num>
  <w:num w:numId="29">
    <w:abstractNumId w:val="1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70A"/>
    <w:rsid w:val="00007C45"/>
    <w:rsid w:val="00020D77"/>
    <w:rsid w:val="00020DD8"/>
    <w:rsid w:val="0002344F"/>
    <w:rsid w:val="00023B38"/>
    <w:rsid w:val="00026A25"/>
    <w:rsid w:val="00033354"/>
    <w:rsid w:val="000356BE"/>
    <w:rsid w:val="00050FB6"/>
    <w:rsid w:val="000518CD"/>
    <w:rsid w:val="00053778"/>
    <w:rsid w:val="00070FCA"/>
    <w:rsid w:val="000800E0"/>
    <w:rsid w:val="00080391"/>
    <w:rsid w:val="0008045F"/>
    <w:rsid w:val="00082230"/>
    <w:rsid w:val="000852D1"/>
    <w:rsid w:val="000906D4"/>
    <w:rsid w:val="000969C7"/>
    <w:rsid w:val="000B0813"/>
    <w:rsid w:val="000B5852"/>
    <w:rsid w:val="000B5B3D"/>
    <w:rsid w:val="000B6ABA"/>
    <w:rsid w:val="000C1672"/>
    <w:rsid w:val="000D1E8B"/>
    <w:rsid w:val="000D2235"/>
    <w:rsid w:val="000D43CC"/>
    <w:rsid w:val="000D4C75"/>
    <w:rsid w:val="000D5FD6"/>
    <w:rsid w:val="000E14BB"/>
    <w:rsid w:val="00101C48"/>
    <w:rsid w:val="0010635B"/>
    <w:rsid w:val="00110657"/>
    <w:rsid w:val="00121CBA"/>
    <w:rsid w:val="0012427D"/>
    <w:rsid w:val="00124FAE"/>
    <w:rsid w:val="0012621F"/>
    <w:rsid w:val="00126B7D"/>
    <w:rsid w:val="001303B1"/>
    <w:rsid w:val="00130AE7"/>
    <w:rsid w:val="00133F5A"/>
    <w:rsid w:val="00135DAC"/>
    <w:rsid w:val="00142C87"/>
    <w:rsid w:val="00143D24"/>
    <w:rsid w:val="001564A5"/>
    <w:rsid w:val="00157C69"/>
    <w:rsid w:val="00165681"/>
    <w:rsid w:val="00166197"/>
    <w:rsid w:val="00170747"/>
    <w:rsid w:val="00170DC4"/>
    <w:rsid w:val="00173CFE"/>
    <w:rsid w:val="00181FDA"/>
    <w:rsid w:val="0019276F"/>
    <w:rsid w:val="001A3573"/>
    <w:rsid w:val="001A5590"/>
    <w:rsid w:val="001A78C2"/>
    <w:rsid w:val="001B29F7"/>
    <w:rsid w:val="001C4ED0"/>
    <w:rsid w:val="001D416D"/>
    <w:rsid w:val="001D6642"/>
    <w:rsid w:val="001E612A"/>
    <w:rsid w:val="0020192C"/>
    <w:rsid w:val="00201D27"/>
    <w:rsid w:val="00203F34"/>
    <w:rsid w:val="00204B2E"/>
    <w:rsid w:val="002076D4"/>
    <w:rsid w:val="002102F5"/>
    <w:rsid w:val="002209B1"/>
    <w:rsid w:val="0022207C"/>
    <w:rsid w:val="002251AF"/>
    <w:rsid w:val="00226801"/>
    <w:rsid w:val="00226D67"/>
    <w:rsid w:val="00227F66"/>
    <w:rsid w:val="00230D5C"/>
    <w:rsid w:val="0023310E"/>
    <w:rsid w:val="00233D32"/>
    <w:rsid w:val="00240577"/>
    <w:rsid w:val="00246470"/>
    <w:rsid w:val="00251CC8"/>
    <w:rsid w:val="00253633"/>
    <w:rsid w:val="00253E0F"/>
    <w:rsid w:val="002622C4"/>
    <w:rsid w:val="00262320"/>
    <w:rsid w:val="00267595"/>
    <w:rsid w:val="0029196A"/>
    <w:rsid w:val="00292053"/>
    <w:rsid w:val="002929B5"/>
    <w:rsid w:val="002B61F6"/>
    <w:rsid w:val="002C07C8"/>
    <w:rsid w:val="002C3530"/>
    <w:rsid w:val="002C64BD"/>
    <w:rsid w:val="002D07F1"/>
    <w:rsid w:val="002D15D5"/>
    <w:rsid w:val="002D5005"/>
    <w:rsid w:val="002E543F"/>
    <w:rsid w:val="002E7965"/>
    <w:rsid w:val="002F49FC"/>
    <w:rsid w:val="002F4D1B"/>
    <w:rsid w:val="003020A2"/>
    <w:rsid w:val="00311490"/>
    <w:rsid w:val="0031272D"/>
    <w:rsid w:val="00312D1B"/>
    <w:rsid w:val="0032125D"/>
    <w:rsid w:val="00325BBE"/>
    <w:rsid w:val="00326CAC"/>
    <w:rsid w:val="00327099"/>
    <w:rsid w:val="0032785B"/>
    <w:rsid w:val="00327CD5"/>
    <w:rsid w:val="00333A7A"/>
    <w:rsid w:val="003364C3"/>
    <w:rsid w:val="00336ABC"/>
    <w:rsid w:val="00360269"/>
    <w:rsid w:val="0036121D"/>
    <w:rsid w:val="003670B6"/>
    <w:rsid w:val="00395983"/>
    <w:rsid w:val="00395B94"/>
    <w:rsid w:val="0039604F"/>
    <w:rsid w:val="003A35AB"/>
    <w:rsid w:val="003A4D99"/>
    <w:rsid w:val="003B0204"/>
    <w:rsid w:val="003B268E"/>
    <w:rsid w:val="003C14B3"/>
    <w:rsid w:val="003C249E"/>
    <w:rsid w:val="003D5784"/>
    <w:rsid w:val="003E46FF"/>
    <w:rsid w:val="003E5035"/>
    <w:rsid w:val="00400CA2"/>
    <w:rsid w:val="00401F22"/>
    <w:rsid w:val="00415DEC"/>
    <w:rsid w:val="00435ED1"/>
    <w:rsid w:val="0044047E"/>
    <w:rsid w:val="004420D8"/>
    <w:rsid w:val="004425FB"/>
    <w:rsid w:val="004601F8"/>
    <w:rsid w:val="004812BB"/>
    <w:rsid w:val="00482CC9"/>
    <w:rsid w:val="00494EC2"/>
    <w:rsid w:val="004960BA"/>
    <w:rsid w:val="004A337A"/>
    <w:rsid w:val="004A70F2"/>
    <w:rsid w:val="004A770E"/>
    <w:rsid w:val="004B38F7"/>
    <w:rsid w:val="004D0D8E"/>
    <w:rsid w:val="004D5961"/>
    <w:rsid w:val="004E2F95"/>
    <w:rsid w:val="004E50EF"/>
    <w:rsid w:val="004E669D"/>
    <w:rsid w:val="004F4E91"/>
    <w:rsid w:val="005007B8"/>
    <w:rsid w:val="00501FF0"/>
    <w:rsid w:val="00510171"/>
    <w:rsid w:val="00511CFB"/>
    <w:rsid w:val="00512CCE"/>
    <w:rsid w:val="0051685D"/>
    <w:rsid w:val="005168A7"/>
    <w:rsid w:val="00531D6E"/>
    <w:rsid w:val="00532899"/>
    <w:rsid w:val="00543187"/>
    <w:rsid w:val="00562D50"/>
    <w:rsid w:val="00570832"/>
    <w:rsid w:val="0057140F"/>
    <w:rsid w:val="0057317D"/>
    <w:rsid w:val="00574253"/>
    <w:rsid w:val="005844B9"/>
    <w:rsid w:val="005845A4"/>
    <w:rsid w:val="005846F1"/>
    <w:rsid w:val="00585138"/>
    <w:rsid w:val="005946B6"/>
    <w:rsid w:val="00595811"/>
    <w:rsid w:val="00595822"/>
    <w:rsid w:val="00597C4A"/>
    <w:rsid w:val="005A34B0"/>
    <w:rsid w:val="005A3F91"/>
    <w:rsid w:val="005B04DF"/>
    <w:rsid w:val="005B19D5"/>
    <w:rsid w:val="005D2B0B"/>
    <w:rsid w:val="005D6968"/>
    <w:rsid w:val="005D784A"/>
    <w:rsid w:val="005E08C0"/>
    <w:rsid w:val="005E2F08"/>
    <w:rsid w:val="005F1616"/>
    <w:rsid w:val="005F3F8D"/>
    <w:rsid w:val="005F597D"/>
    <w:rsid w:val="005F5C25"/>
    <w:rsid w:val="005F6E88"/>
    <w:rsid w:val="005F72D9"/>
    <w:rsid w:val="00624AEA"/>
    <w:rsid w:val="00626AC2"/>
    <w:rsid w:val="00626B27"/>
    <w:rsid w:val="006308E7"/>
    <w:rsid w:val="00640DD7"/>
    <w:rsid w:val="00646261"/>
    <w:rsid w:val="00652F20"/>
    <w:rsid w:val="006537F3"/>
    <w:rsid w:val="006562BF"/>
    <w:rsid w:val="00656FCE"/>
    <w:rsid w:val="00662A31"/>
    <w:rsid w:val="00666CAB"/>
    <w:rsid w:val="00666CAF"/>
    <w:rsid w:val="00672E21"/>
    <w:rsid w:val="00674C33"/>
    <w:rsid w:val="00675336"/>
    <w:rsid w:val="00675C38"/>
    <w:rsid w:val="00682187"/>
    <w:rsid w:val="006822FA"/>
    <w:rsid w:val="0068288F"/>
    <w:rsid w:val="006B572B"/>
    <w:rsid w:val="006C384C"/>
    <w:rsid w:val="006D02BE"/>
    <w:rsid w:val="006D4E57"/>
    <w:rsid w:val="006D6DAB"/>
    <w:rsid w:val="006D6F0B"/>
    <w:rsid w:val="006D7BC0"/>
    <w:rsid w:val="006E1F73"/>
    <w:rsid w:val="006E24D0"/>
    <w:rsid w:val="006E36D8"/>
    <w:rsid w:val="006E36DB"/>
    <w:rsid w:val="006E3763"/>
    <w:rsid w:val="006F0B7C"/>
    <w:rsid w:val="006F6D6E"/>
    <w:rsid w:val="00722BF7"/>
    <w:rsid w:val="007275E7"/>
    <w:rsid w:val="00727D2F"/>
    <w:rsid w:val="00735F39"/>
    <w:rsid w:val="00742621"/>
    <w:rsid w:val="00745F79"/>
    <w:rsid w:val="00746AC7"/>
    <w:rsid w:val="00752F31"/>
    <w:rsid w:val="0075335D"/>
    <w:rsid w:val="00753F60"/>
    <w:rsid w:val="00760C5F"/>
    <w:rsid w:val="00776870"/>
    <w:rsid w:val="00782800"/>
    <w:rsid w:val="007976EF"/>
    <w:rsid w:val="007A0851"/>
    <w:rsid w:val="007A2146"/>
    <w:rsid w:val="007A7C95"/>
    <w:rsid w:val="007B0E96"/>
    <w:rsid w:val="007B3EA6"/>
    <w:rsid w:val="007B7AC8"/>
    <w:rsid w:val="007C41DF"/>
    <w:rsid w:val="007C4712"/>
    <w:rsid w:val="007C5D81"/>
    <w:rsid w:val="007D47C9"/>
    <w:rsid w:val="007D53E0"/>
    <w:rsid w:val="007E7922"/>
    <w:rsid w:val="0080611E"/>
    <w:rsid w:val="00806692"/>
    <w:rsid w:val="00813057"/>
    <w:rsid w:val="00825BC4"/>
    <w:rsid w:val="00827C0C"/>
    <w:rsid w:val="00834240"/>
    <w:rsid w:val="0084384C"/>
    <w:rsid w:val="00843DB3"/>
    <w:rsid w:val="00845054"/>
    <w:rsid w:val="0084586E"/>
    <w:rsid w:val="008465EC"/>
    <w:rsid w:val="00876C11"/>
    <w:rsid w:val="0088206E"/>
    <w:rsid w:val="00885A31"/>
    <w:rsid w:val="00893C52"/>
    <w:rsid w:val="008A4CB8"/>
    <w:rsid w:val="008B0746"/>
    <w:rsid w:val="008B3420"/>
    <w:rsid w:val="008B50E8"/>
    <w:rsid w:val="008B70B1"/>
    <w:rsid w:val="008C0635"/>
    <w:rsid w:val="008D5785"/>
    <w:rsid w:val="008E4897"/>
    <w:rsid w:val="0090247B"/>
    <w:rsid w:val="00902769"/>
    <w:rsid w:val="00914A4E"/>
    <w:rsid w:val="009211B9"/>
    <w:rsid w:val="00926232"/>
    <w:rsid w:val="009330D8"/>
    <w:rsid w:val="00945B36"/>
    <w:rsid w:val="0096746C"/>
    <w:rsid w:val="00967812"/>
    <w:rsid w:val="00967E54"/>
    <w:rsid w:val="00987D11"/>
    <w:rsid w:val="00993091"/>
    <w:rsid w:val="009A05C5"/>
    <w:rsid w:val="009B5A84"/>
    <w:rsid w:val="009B7587"/>
    <w:rsid w:val="009C0996"/>
    <w:rsid w:val="009C38A6"/>
    <w:rsid w:val="009D6E8D"/>
    <w:rsid w:val="009E049C"/>
    <w:rsid w:val="009E41CE"/>
    <w:rsid w:val="009E6B6B"/>
    <w:rsid w:val="00A00FE3"/>
    <w:rsid w:val="00A17915"/>
    <w:rsid w:val="00A21ECF"/>
    <w:rsid w:val="00A275AF"/>
    <w:rsid w:val="00A42DC6"/>
    <w:rsid w:val="00A50B42"/>
    <w:rsid w:val="00A55A9B"/>
    <w:rsid w:val="00A569DE"/>
    <w:rsid w:val="00A60FB3"/>
    <w:rsid w:val="00A66B5A"/>
    <w:rsid w:val="00A74DB8"/>
    <w:rsid w:val="00A777A1"/>
    <w:rsid w:val="00A85B69"/>
    <w:rsid w:val="00A90E8F"/>
    <w:rsid w:val="00A9408B"/>
    <w:rsid w:val="00A97675"/>
    <w:rsid w:val="00AA07A8"/>
    <w:rsid w:val="00AA5441"/>
    <w:rsid w:val="00AA7232"/>
    <w:rsid w:val="00AB2FC2"/>
    <w:rsid w:val="00AB5BA4"/>
    <w:rsid w:val="00AB7F6B"/>
    <w:rsid w:val="00AC37DD"/>
    <w:rsid w:val="00AC3D0A"/>
    <w:rsid w:val="00AC44D4"/>
    <w:rsid w:val="00AD59DB"/>
    <w:rsid w:val="00AD7BDD"/>
    <w:rsid w:val="00AF3D40"/>
    <w:rsid w:val="00B00FBE"/>
    <w:rsid w:val="00B119F4"/>
    <w:rsid w:val="00B13CBC"/>
    <w:rsid w:val="00B16886"/>
    <w:rsid w:val="00B23242"/>
    <w:rsid w:val="00B23553"/>
    <w:rsid w:val="00B3268A"/>
    <w:rsid w:val="00B3390B"/>
    <w:rsid w:val="00B33A7B"/>
    <w:rsid w:val="00B41390"/>
    <w:rsid w:val="00B43C1D"/>
    <w:rsid w:val="00B56734"/>
    <w:rsid w:val="00B60F34"/>
    <w:rsid w:val="00B6606B"/>
    <w:rsid w:val="00B66574"/>
    <w:rsid w:val="00B671FB"/>
    <w:rsid w:val="00B8213C"/>
    <w:rsid w:val="00B82EF6"/>
    <w:rsid w:val="00B87E50"/>
    <w:rsid w:val="00B90602"/>
    <w:rsid w:val="00B94738"/>
    <w:rsid w:val="00BA4592"/>
    <w:rsid w:val="00BA7BDB"/>
    <w:rsid w:val="00BB0779"/>
    <w:rsid w:val="00BB0E22"/>
    <w:rsid w:val="00BB663E"/>
    <w:rsid w:val="00BC6789"/>
    <w:rsid w:val="00BD0D2D"/>
    <w:rsid w:val="00BD3DD2"/>
    <w:rsid w:val="00BD629D"/>
    <w:rsid w:val="00BD65B9"/>
    <w:rsid w:val="00BE1290"/>
    <w:rsid w:val="00BE2261"/>
    <w:rsid w:val="00BE4B56"/>
    <w:rsid w:val="00BE6A61"/>
    <w:rsid w:val="00C00178"/>
    <w:rsid w:val="00C012D9"/>
    <w:rsid w:val="00C01CAC"/>
    <w:rsid w:val="00C02295"/>
    <w:rsid w:val="00C041EE"/>
    <w:rsid w:val="00C07790"/>
    <w:rsid w:val="00C11468"/>
    <w:rsid w:val="00C13B2C"/>
    <w:rsid w:val="00C20845"/>
    <w:rsid w:val="00C347FC"/>
    <w:rsid w:val="00C37F07"/>
    <w:rsid w:val="00C37FF7"/>
    <w:rsid w:val="00C40C8B"/>
    <w:rsid w:val="00C46320"/>
    <w:rsid w:val="00C662D1"/>
    <w:rsid w:val="00C738C0"/>
    <w:rsid w:val="00C83218"/>
    <w:rsid w:val="00C95889"/>
    <w:rsid w:val="00CA5C64"/>
    <w:rsid w:val="00CA6804"/>
    <w:rsid w:val="00CB3479"/>
    <w:rsid w:val="00CB4253"/>
    <w:rsid w:val="00CB4C28"/>
    <w:rsid w:val="00CE2E62"/>
    <w:rsid w:val="00CE36CF"/>
    <w:rsid w:val="00CE69BE"/>
    <w:rsid w:val="00CF63BB"/>
    <w:rsid w:val="00CF70E4"/>
    <w:rsid w:val="00D02926"/>
    <w:rsid w:val="00D1041F"/>
    <w:rsid w:val="00D22A15"/>
    <w:rsid w:val="00D407CD"/>
    <w:rsid w:val="00D44364"/>
    <w:rsid w:val="00D468E5"/>
    <w:rsid w:val="00D4710E"/>
    <w:rsid w:val="00D523F5"/>
    <w:rsid w:val="00D604CD"/>
    <w:rsid w:val="00D65AA0"/>
    <w:rsid w:val="00D713FD"/>
    <w:rsid w:val="00D7152A"/>
    <w:rsid w:val="00D71EC2"/>
    <w:rsid w:val="00D77D41"/>
    <w:rsid w:val="00D84196"/>
    <w:rsid w:val="00D87941"/>
    <w:rsid w:val="00D92EF1"/>
    <w:rsid w:val="00D9353A"/>
    <w:rsid w:val="00DA4DF7"/>
    <w:rsid w:val="00DD1799"/>
    <w:rsid w:val="00DD3C76"/>
    <w:rsid w:val="00DE3B9B"/>
    <w:rsid w:val="00DE6DE5"/>
    <w:rsid w:val="00DE6EF8"/>
    <w:rsid w:val="00E00E57"/>
    <w:rsid w:val="00E03F2E"/>
    <w:rsid w:val="00E24675"/>
    <w:rsid w:val="00E45B78"/>
    <w:rsid w:val="00E5524C"/>
    <w:rsid w:val="00E61105"/>
    <w:rsid w:val="00E63C16"/>
    <w:rsid w:val="00E72446"/>
    <w:rsid w:val="00E72BA3"/>
    <w:rsid w:val="00E7797E"/>
    <w:rsid w:val="00EA31A4"/>
    <w:rsid w:val="00EA391E"/>
    <w:rsid w:val="00EA7A69"/>
    <w:rsid w:val="00EB25B5"/>
    <w:rsid w:val="00EB5FDE"/>
    <w:rsid w:val="00EB713B"/>
    <w:rsid w:val="00EC4775"/>
    <w:rsid w:val="00ED2AE4"/>
    <w:rsid w:val="00ED4D8F"/>
    <w:rsid w:val="00EE4622"/>
    <w:rsid w:val="00EF3144"/>
    <w:rsid w:val="00F0059D"/>
    <w:rsid w:val="00F00B0F"/>
    <w:rsid w:val="00F06F43"/>
    <w:rsid w:val="00F152E8"/>
    <w:rsid w:val="00F34996"/>
    <w:rsid w:val="00F34E24"/>
    <w:rsid w:val="00F40B4D"/>
    <w:rsid w:val="00F632B7"/>
    <w:rsid w:val="00F65928"/>
    <w:rsid w:val="00F73B08"/>
    <w:rsid w:val="00F85DDD"/>
    <w:rsid w:val="00F92FB2"/>
    <w:rsid w:val="00F95B39"/>
    <w:rsid w:val="00F95CBF"/>
    <w:rsid w:val="00FA4E3B"/>
    <w:rsid w:val="00FA6747"/>
    <w:rsid w:val="00FB0DB0"/>
    <w:rsid w:val="00FB7CEF"/>
    <w:rsid w:val="00FC1C8B"/>
    <w:rsid w:val="00FC4A81"/>
    <w:rsid w:val="00FD2C41"/>
    <w:rsid w:val="00FD3DAD"/>
    <w:rsid w:val="00FD40A0"/>
    <w:rsid w:val="00FE26BF"/>
    <w:rsid w:val="00FE6594"/>
    <w:rsid w:val="00FE71A3"/>
    <w:rsid w:val="00FF1876"/>
    <w:rsid w:val="00FF455D"/>
    <w:rsid w:val="00FF4CA5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customStyle="1" w:styleId="BlockText">
    <w:name w:val="Block_Text"/>
    <w:basedOn w:val="Normal"/>
    <w:link w:val="BlockTextChar"/>
    <w:rsid w:val="00130AE7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130AE7"/>
    <w:rPr>
      <w:rFonts w:ascii="Arial" w:eastAsia="Times New Roman" w:hAnsi="Arial" w:cstheme="minorBidi"/>
      <w:sz w:val="22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D84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RDC-FS03/ia/CC193/RFQ%2013-09%20ACORN%20(ITG)/www.courtinfo.ca.gov/cms/rules/index.cfm?title=ten&amp;linkid=rule10_50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ll.barrios@ventura.courts.c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RDC-FS03/ia/CC193/RFQ%2013-09%20ACORN%20(ITG)/www.courts.ca.gov/documents/jbcl-manual.pdf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BBD5E-34BF-4ACC-9703-FE9B78526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C75CA-E3EB-462A-9D85-3108E94C4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0C6EC-79F8-4B63-A010-5DCD99A4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0EE705-F053-4753-A522-F6C719F2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2</cp:revision>
  <cp:lastPrinted>2017-06-16T23:04:00Z</cp:lastPrinted>
  <dcterms:created xsi:type="dcterms:W3CDTF">2017-06-19T19:39:00Z</dcterms:created>
  <dcterms:modified xsi:type="dcterms:W3CDTF">2017-06-19T19:39:00Z</dcterms:modified>
</cp:coreProperties>
</file>